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1CF" w:rsidRPr="00A653E0" w:rsidRDefault="00BD50E3" w:rsidP="00D361BE">
      <w:pPr>
        <w:autoSpaceDE w:val="0"/>
        <w:autoSpaceDN w:val="0"/>
        <w:adjustRightInd w:val="0"/>
        <w:spacing w:line="360" w:lineRule="auto"/>
        <w:jc w:val="center"/>
        <w:rPr>
          <w:b/>
        </w:rPr>
      </w:pPr>
      <w:r>
        <w:rPr>
          <w:b/>
        </w:rPr>
        <w:t>I</w:t>
      </w:r>
      <w:r w:rsidR="006331CF" w:rsidRPr="00A653E0">
        <w:rPr>
          <w:b/>
        </w:rPr>
        <w:t xml:space="preserve">ndicators as the </w:t>
      </w:r>
      <w:r w:rsidR="0010708D" w:rsidRPr="00A653E0">
        <w:rPr>
          <w:b/>
        </w:rPr>
        <w:t>working language</w:t>
      </w:r>
      <w:r w:rsidR="006331CF" w:rsidRPr="00A653E0">
        <w:rPr>
          <w:b/>
        </w:rPr>
        <w:t xml:space="preserve"> </w:t>
      </w:r>
      <w:r w:rsidR="004C4F25" w:rsidRPr="00A653E0">
        <w:rPr>
          <w:b/>
        </w:rPr>
        <w:t xml:space="preserve">for </w:t>
      </w:r>
      <w:r w:rsidR="006331CF" w:rsidRPr="00A653E0">
        <w:rPr>
          <w:b/>
        </w:rPr>
        <w:t>interaction among regimes</w:t>
      </w:r>
    </w:p>
    <w:p w:rsidR="009725DB" w:rsidRPr="00A653E0" w:rsidRDefault="009725DB" w:rsidP="00A653E0">
      <w:pPr>
        <w:autoSpaceDE w:val="0"/>
        <w:autoSpaceDN w:val="0"/>
        <w:adjustRightInd w:val="0"/>
        <w:spacing w:line="360" w:lineRule="auto"/>
        <w:jc w:val="both"/>
        <w:rPr>
          <w:b/>
        </w:rPr>
      </w:pPr>
    </w:p>
    <w:p w:rsidR="007239BD" w:rsidRPr="00A653E0" w:rsidRDefault="007239BD" w:rsidP="003F4BA4">
      <w:pPr>
        <w:autoSpaceDE w:val="0"/>
        <w:autoSpaceDN w:val="0"/>
        <w:adjustRightInd w:val="0"/>
        <w:spacing w:line="360" w:lineRule="auto"/>
        <w:jc w:val="center"/>
        <w:rPr>
          <w:b/>
        </w:rPr>
      </w:pPr>
      <w:r w:rsidRPr="00A653E0">
        <w:rPr>
          <w:b/>
        </w:rPr>
        <w:t>Rene Urueña</w:t>
      </w:r>
      <w:r w:rsidR="00C3506D" w:rsidRPr="00A653E0">
        <w:rPr>
          <w:rStyle w:val="FootnoteReference"/>
          <w:b/>
        </w:rPr>
        <w:footnoteReference w:id="1"/>
      </w:r>
    </w:p>
    <w:p w:rsidR="006331CF" w:rsidRPr="00A653E0" w:rsidRDefault="006331CF" w:rsidP="00A653E0">
      <w:pPr>
        <w:autoSpaceDE w:val="0"/>
        <w:autoSpaceDN w:val="0"/>
        <w:adjustRightInd w:val="0"/>
        <w:spacing w:line="360" w:lineRule="auto"/>
        <w:jc w:val="both"/>
      </w:pPr>
    </w:p>
    <w:p w:rsidR="00A0599A" w:rsidRPr="00A653E0" w:rsidRDefault="00C54B64" w:rsidP="00A653E0">
      <w:pPr>
        <w:autoSpaceDE w:val="0"/>
        <w:autoSpaceDN w:val="0"/>
        <w:adjustRightInd w:val="0"/>
        <w:spacing w:line="360" w:lineRule="auto"/>
        <w:jc w:val="both"/>
      </w:pPr>
      <w:r w:rsidRPr="00A653E0">
        <w:t>This contribution</w:t>
      </w:r>
      <w:r w:rsidR="003513BF" w:rsidRPr="00A653E0">
        <w:t xml:space="preserve"> seeks to </w:t>
      </w:r>
      <w:r w:rsidR="00D429DE" w:rsidRPr="00A653E0">
        <w:t xml:space="preserve">examine the </w:t>
      </w:r>
      <w:r w:rsidR="00576832" w:rsidRPr="00A653E0">
        <w:t>connection between indicators and international law.</w:t>
      </w:r>
      <w:r w:rsidR="0007349C" w:rsidRPr="00A653E0">
        <w:t xml:space="preserve"> This connection is not readily made by </w:t>
      </w:r>
      <w:r w:rsidR="0040665C" w:rsidRPr="00A653E0">
        <w:t>international lawyers</w:t>
      </w:r>
      <w:r w:rsidR="00B768DA" w:rsidRPr="00A653E0">
        <w:t xml:space="preserve">. Indicators seem to belong to a different area of practice of international affairs, closer to development </w:t>
      </w:r>
      <w:r w:rsidR="00D940EC" w:rsidRPr="00A653E0">
        <w:t>aid institutions</w:t>
      </w:r>
      <w:r w:rsidR="00B768DA" w:rsidRPr="00A653E0">
        <w:t xml:space="preserve"> </w:t>
      </w:r>
      <w:r w:rsidR="00E45F80" w:rsidRPr="00A653E0">
        <w:t xml:space="preserve">than to the practice of </w:t>
      </w:r>
      <w:r w:rsidR="00B768DA" w:rsidRPr="00A653E0">
        <w:t>international courts</w:t>
      </w:r>
      <w:r w:rsidR="00E45F80" w:rsidRPr="00A653E0">
        <w:t xml:space="preserve"> and tribunals.  Even in the context of more recent </w:t>
      </w:r>
      <w:r w:rsidR="00B768DA" w:rsidRPr="00A653E0">
        <w:t xml:space="preserve">debates </w:t>
      </w:r>
      <w:r w:rsidR="00E45F80" w:rsidRPr="00A653E0">
        <w:t xml:space="preserve">on international legal scholarship, such as those related to </w:t>
      </w:r>
      <w:r w:rsidR="00B768DA" w:rsidRPr="00A653E0">
        <w:t>global consti</w:t>
      </w:r>
      <w:r w:rsidR="00E45F80" w:rsidRPr="00A653E0">
        <w:t>tutionalism</w:t>
      </w:r>
      <w:r w:rsidR="00BE3656" w:rsidRPr="00A653E0">
        <w:t>, global administrative law</w:t>
      </w:r>
      <w:r w:rsidR="00E45F80" w:rsidRPr="00A653E0">
        <w:t xml:space="preserve"> and legal pluralism</w:t>
      </w:r>
      <w:r w:rsidR="00D940EC" w:rsidRPr="00A653E0">
        <w:t xml:space="preserve">, the exploration of indicators sounds out of place – what can we learn about international law by discussing some numbers, some charts, some indexes? </w:t>
      </w:r>
      <w:r w:rsidR="007B46CB" w:rsidRPr="00A653E0">
        <w:t xml:space="preserve"> </w:t>
      </w:r>
    </w:p>
    <w:p w:rsidR="00A0599A" w:rsidRPr="00A653E0" w:rsidRDefault="00A0599A" w:rsidP="00A653E0">
      <w:pPr>
        <w:autoSpaceDE w:val="0"/>
        <w:autoSpaceDN w:val="0"/>
        <w:adjustRightInd w:val="0"/>
        <w:spacing w:line="360" w:lineRule="auto"/>
        <w:jc w:val="both"/>
      </w:pPr>
    </w:p>
    <w:p w:rsidR="009725DB" w:rsidRDefault="007B46CB" w:rsidP="00A653E0">
      <w:pPr>
        <w:autoSpaceDE w:val="0"/>
        <w:autoSpaceDN w:val="0"/>
        <w:adjustRightInd w:val="0"/>
        <w:spacing w:line="360" w:lineRule="auto"/>
        <w:jc w:val="both"/>
      </w:pPr>
      <w:r w:rsidRPr="00A653E0">
        <w:t xml:space="preserve">In what follows, I would like to propose </w:t>
      </w:r>
      <w:r w:rsidR="007D79AC" w:rsidRPr="00A653E0">
        <w:t xml:space="preserve">a couple of </w:t>
      </w:r>
      <w:r w:rsidR="00864598" w:rsidRPr="00A653E0">
        <w:t>elements</w:t>
      </w:r>
      <w:r w:rsidRPr="00A653E0">
        <w:t xml:space="preserve"> </w:t>
      </w:r>
      <w:r w:rsidR="00A0599A" w:rsidRPr="00A653E0">
        <w:t xml:space="preserve">towards an </w:t>
      </w:r>
      <w:r w:rsidRPr="00A653E0">
        <w:t>answer to that question.</w:t>
      </w:r>
      <w:r w:rsidR="00816DE9" w:rsidRPr="00A653E0">
        <w:t xml:space="preserve"> </w:t>
      </w:r>
      <w:r w:rsidR="00D14770" w:rsidRPr="00A653E0">
        <w:t xml:space="preserve">To do so, the document </w:t>
      </w:r>
      <w:r w:rsidR="00816DE9" w:rsidRPr="00A653E0">
        <w:t>make</w:t>
      </w:r>
      <w:r w:rsidR="00D14770" w:rsidRPr="00A653E0">
        <w:t>s</w:t>
      </w:r>
      <w:r w:rsidR="00816DE9" w:rsidRPr="00A653E0">
        <w:t xml:space="preserve"> the argument that </w:t>
      </w:r>
      <w:r w:rsidR="00D14770" w:rsidRPr="00A653E0">
        <w:t xml:space="preserve">indicators can be read as the working language for the interaction among regimes in international law, and explores some of the implications derived from this fact.  </w:t>
      </w:r>
    </w:p>
    <w:p w:rsidR="004F10E5" w:rsidRPr="00A653E0" w:rsidRDefault="004F10E5" w:rsidP="00A653E0">
      <w:pPr>
        <w:autoSpaceDE w:val="0"/>
        <w:autoSpaceDN w:val="0"/>
        <w:adjustRightInd w:val="0"/>
        <w:spacing w:line="360" w:lineRule="auto"/>
        <w:jc w:val="both"/>
      </w:pPr>
    </w:p>
    <w:p w:rsidR="004B0D52" w:rsidRPr="00A653E0" w:rsidRDefault="004F10E5" w:rsidP="00A653E0">
      <w:pPr>
        <w:autoSpaceDE w:val="0"/>
        <w:autoSpaceDN w:val="0"/>
        <w:adjustRightInd w:val="0"/>
        <w:spacing w:line="360" w:lineRule="auto"/>
        <w:jc w:val="both"/>
      </w:pPr>
      <w:r w:rsidRPr="004F10E5">
        <w:t>Now: t</w:t>
      </w:r>
      <w:r w:rsidR="003513BF" w:rsidRPr="004F10E5">
        <w:t>he</w:t>
      </w:r>
      <w:r w:rsidR="003513BF" w:rsidRPr="00A653E0">
        <w:t xml:space="preserve"> Global Administrative Law </w:t>
      </w:r>
      <w:r w:rsidR="00816DE9" w:rsidRPr="00A653E0">
        <w:t xml:space="preserve">approach </w:t>
      </w:r>
      <w:r w:rsidR="003513BF" w:rsidRPr="00A653E0">
        <w:t xml:space="preserve">to indicators has been based </w:t>
      </w:r>
      <w:r w:rsidR="00C10F28" w:rsidRPr="00A653E0">
        <w:t>upon the premise that the production, promulgation and use of indicators are important forms of power in global governance, which need to be addressed from, perhaps even regulated by, the discipline of international law</w:t>
      </w:r>
      <w:r w:rsidR="003513BF" w:rsidRPr="00A653E0">
        <w:rPr>
          <w:rStyle w:val="FootnoteReference"/>
        </w:rPr>
        <w:footnoteReference w:id="2"/>
      </w:r>
      <w:r w:rsidR="00FC402D" w:rsidRPr="00A653E0">
        <w:t xml:space="preserve">.  </w:t>
      </w:r>
      <w:r w:rsidR="00C54B64" w:rsidRPr="00A653E0">
        <w:t xml:space="preserve"> I agree with this assessment, but want to focus on a slightly different angle of the matter. </w:t>
      </w:r>
      <w:r w:rsidR="008F5013" w:rsidRPr="00A653E0">
        <w:t xml:space="preserve">My starting point is that </w:t>
      </w:r>
      <w:r w:rsidR="004778C9" w:rsidRPr="00A653E0">
        <w:t xml:space="preserve">many of the debates </w:t>
      </w:r>
      <w:r w:rsidR="00FC402D" w:rsidRPr="00A653E0">
        <w:t xml:space="preserve">taking place these days </w:t>
      </w:r>
      <w:r w:rsidR="004778C9" w:rsidRPr="00A653E0">
        <w:t>on the structure of the i</w:t>
      </w:r>
      <w:r w:rsidR="00FC402D" w:rsidRPr="00A653E0">
        <w:t xml:space="preserve">nternational legal system </w:t>
      </w:r>
      <w:r w:rsidR="004778C9" w:rsidRPr="00A653E0">
        <w:t xml:space="preserve">can be usefully understood </w:t>
      </w:r>
      <w:r w:rsidR="007D79AC" w:rsidRPr="00A653E0">
        <w:t xml:space="preserve">as </w:t>
      </w:r>
      <w:r w:rsidR="004778C9" w:rsidRPr="00A653E0">
        <w:t>problem</w:t>
      </w:r>
      <w:r w:rsidR="007D79AC" w:rsidRPr="00A653E0">
        <w:t>s</w:t>
      </w:r>
      <w:r w:rsidR="004778C9" w:rsidRPr="00A653E0">
        <w:t xml:space="preserve"> </w:t>
      </w:r>
      <w:r w:rsidR="007D79AC" w:rsidRPr="00A653E0">
        <w:t xml:space="preserve">derived from the </w:t>
      </w:r>
      <w:r w:rsidR="004778C9" w:rsidRPr="00A653E0">
        <w:t>interaction among regimes</w:t>
      </w:r>
      <w:r w:rsidR="003F4BA4">
        <w:rPr>
          <w:rStyle w:val="FootnoteReference"/>
        </w:rPr>
        <w:footnoteReference w:id="3"/>
      </w:r>
      <w:r w:rsidR="004778C9" w:rsidRPr="00A653E0">
        <w:t xml:space="preserve">.  </w:t>
      </w:r>
      <w:r w:rsidR="00B02539" w:rsidRPr="00A653E0">
        <w:t>Climate change, i</w:t>
      </w:r>
      <w:r w:rsidR="004778C9" w:rsidRPr="00A653E0">
        <w:t xml:space="preserve">nvestment protection, </w:t>
      </w:r>
      <w:r w:rsidR="00B02539" w:rsidRPr="00A653E0">
        <w:t xml:space="preserve">humanitarian intervention </w:t>
      </w:r>
      <w:r w:rsidR="004778C9" w:rsidRPr="00A653E0">
        <w:t xml:space="preserve">– all </w:t>
      </w:r>
      <w:r w:rsidR="00B02539" w:rsidRPr="00A653E0">
        <w:t xml:space="preserve">these problems imply the interaction of different </w:t>
      </w:r>
      <w:r w:rsidR="007D79AC" w:rsidRPr="00A653E0">
        <w:t xml:space="preserve">legal </w:t>
      </w:r>
      <w:r w:rsidR="00B02539" w:rsidRPr="00A653E0">
        <w:t>regimes</w:t>
      </w:r>
      <w:r w:rsidR="007D79AC" w:rsidRPr="00A653E0">
        <w:t xml:space="preserve"> (be them domestic, international</w:t>
      </w:r>
      <w:r w:rsidR="00FC402D" w:rsidRPr="00A653E0">
        <w:t>,</w:t>
      </w:r>
      <w:r w:rsidR="007D79AC" w:rsidRPr="00A653E0">
        <w:t xml:space="preserve"> or transnational) whose outcomes and </w:t>
      </w:r>
      <w:r w:rsidR="00FC402D" w:rsidRPr="00A653E0">
        <w:t>effectiveness depend not only on</w:t>
      </w:r>
      <w:r w:rsidR="007D79AC" w:rsidRPr="00A653E0">
        <w:t xml:space="preserve"> their own “internal” characteristics (that is, intra-regime)</w:t>
      </w:r>
      <w:r w:rsidR="00FC402D" w:rsidRPr="00A653E0">
        <w:t>, but also on</w:t>
      </w:r>
      <w:r w:rsidR="00B47536" w:rsidRPr="00A653E0">
        <w:t xml:space="preserve"> the way in which they interact with each other – sometimes bolstering each other’s effectiveness, sometimes annulling the </w:t>
      </w:r>
      <w:r w:rsidR="004B0D52" w:rsidRPr="00A653E0">
        <w:t xml:space="preserve">very limited results </w:t>
      </w:r>
      <w:r w:rsidR="00FC402D" w:rsidRPr="00A653E0">
        <w:t>they achieve</w:t>
      </w:r>
      <w:r w:rsidR="004B0D52" w:rsidRPr="00A653E0">
        <w:t>.</w:t>
      </w:r>
    </w:p>
    <w:p w:rsidR="004B0D52" w:rsidRPr="00A653E0" w:rsidRDefault="004B0D52" w:rsidP="00A653E0">
      <w:pPr>
        <w:autoSpaceDE w:val="0"/>
        <w:autoSpaceDN w:val="0"/>
        <w:adjustRightInd w:val="0"/>
        <w:spacing w:line="360" w:lineRule="auto"/>
        <w:jc w:val="both"/>
      </w:pPr>
    </w:p>
    <w:p w:rsidR="004115BD" w:rsidRPr="00A653E0" w:rsidRDefault="004B0D52" w:rsidP="00A653E0">
      <w:pPr>
        <w:autoSpaceDE w:val="0"/>
        <w:autoSpaceDN w:val="0"/>
        <w:adjustRightInd w:val="0"/>
        <w:spacing w:line="360" w:lineRule="auto"/>
        <w:jc w:val="both"/>
      </w:pPr>
      <w:r w:rsidRPr="00A653E0">
        <w:t xml:space="preserve">In this context, indicators work as a hinge </w:t>
      </w:r>
      <w:r w:rsidR="00163028" w:rsidRPr="00A653E0">
        <w:t>between</w:t>
      </w:r>
      <w:r w:rsidRPr="00A653E0">
        <w:t xml:space="preserve"> regimes.  </w:t>
      </w:r>
      <w:r w:rsidR="0090771F" w:rsidRPr="00A653E0">
        <w:t xml:space="preserve">In a world where each regime seems </w:t>
      </w:r>
      <w:r w:rsidR="00FC402D" w:rsidRPr="00A653E0">
        <w:t xml:space="preserve">to </w:t>
      </w:r>
      <w:r w:rsidR="0090771F" w:rsidRPr="00A653E0">
        <w:t>derive its legitimacy from closed communities of experts</w:t>
      </w:r>
      <w:r w:rsidR="003F4BA4">
        <w:rPr>
          <w:rStyle w:val="FootnoteReference"/>
        </w:rPr>
        <w:footnoteReference w:id="4"/>
      </w:r>
      <w:r w:rsidR="0090771F" w:rsidRPr="00A653E0">
        <w:t xml:space="preserve">, indicators work as a common language </w:t>
      </w:r>
      <w:r w:rsidR="00163028" w:rsidRPr="00A653E0">
        <w:t>for</w:t>
      </w:r>
      <w:r w:rsidR="0090771F" w:rsidRPr="00A653E0">
        <w:t xml:space="preserve"> communication among regimes.  </w:t>
      </w:r>
      <w:r w:rsidR="006331CF" w:rsidRPr="00A653E0">
        <w:t xml:space="preserve">With their </w:t>
      </w:r>
      <w:r w:rsidR="00163028" w:rsidRPr="00A653E0">
        <w:t>claim</w:t>
      </w:r>
      <w:r w:rsidR="006331CF" w:rsidRPr="00A653E0">
        <w:t xml:space="preserve"> </w:t>
      </w:r>
      <w:r w:rsidR="00163028" w:rsidRPr="00A653E0">
        <w:t xml:space="preserve">to technical neutrality, their well-organized and </w:t>
      </w:r>
      <w:r w:rsidR="009A3681" w:rsidRPr="00A653E0">
        <w:t>easily understood bits of information</w:t>
      </w:r>
      <w:r w:rsidR="00163028" w:rsidRPr="00A653E0">
        <w:t xml:space="preserve">, and their </w:t>
      </w:r>
      <w:r w:rsidR="007E3E70" w:rsidRPr="00A653E0">
        <w:t>trans-national, non</w:t>
      </w:r>
      <w:r w:rsidR="003428FD" w:rsidRPr="00A653E0">
        <w:t xml:space="preserve"> – culturally based </w:t>
      </w:r>
      <w:r w:rsidR="007E3E70" w:rsidRPr="00A653E0">
        <w:t>terminology</w:t>
      </w:r>
      <w:r w:rsidR="003428FD" w:rsidRPr="00A653E0">
        <w:t xml:space="preserve">, </w:t>
      </w:r>
      <w:r w:rsidR="007E3E70" w:rsidRPr="00A653E0">
        <w:t xml:space="preserve">indicators are well-placed to help epistemic communities communicate with each other, outside their own narrowly defined area of expertise.  </w:t>
      </w:r>
    </w:p>
    <w:p w:rsidR="004115BD" w:rsidRPr="00A653E0" w:rsidRDefault="004115BD" w:rsidP="00A653E0">
      <w:pPr>
        <w:autoSpaceDE w:val="0"/>
        <w:autoSpaceDN w:val="0"/>
        <w:adjustRightInd w:val="0"/>
        <w:spacing w:line="360" w:lineRule="auto"/>
        <w:jc w:val="both"/>
      </w:pPr>
    </w:p>
    <w:p w:rsidR="00011F4D" w:rsidRPr="00A653E0" w:rsidRDefault="007E3E70" w:rsidP="00A653E0">
      <w:pPr>
        <w:autoSpaceDE w:val="0"/>
        <w:autoSpaceDN w:val="0"/>
        <w:adjustRightInd w:val="0"/>
        <w:spacing w:line="360" w:lineRule="auto"/>
        <w:jc w:val="both"/>
      </w:pPr>
      <w:r w:rsidRPr="00A653E0">
        <w:t>I</w:t>
      </w:r>
      <w:r w:rsidR="0090771F" w:rsidRPr="00A653E0">
        <w:t>ndicators, in this sense</w:t>
      </w:r>
      <w:r w:rsidR="009A3681" w:rsidRPr="00A653E0">
        <w:t>,</w:t>
      </w:r>
      <w:r w:rsidR="006331CF" w:rsidRPr="00A653E0">
        <w:t xml:space="preserve"> serve as</w:t>
      </w:r>
      <w:r w:rsidR="006A158B" w:rsidRPr="00A653E0">
        <w:t xml:space="preserve"> the </w:t>
      </w:r>
      <w:r w:rsidR="006A158B" w:rsidRPr="00A653E0">
        <w:rPr>
          <w:i/>
        </w:rPr>
        <w:t>ling</w:t>
      </w:r>
      <w:r w:rsidR="00887E69" w:rsidRPr="00A653E0">
        <w:rPr>
          <w:i/>
        </w:rPr>
        <w:t>u</w:t>
      </w:r>
      <w:r w:rsidR="006A158B" w:rsidRPr="00A653E0">
        <w:rPr>
          <w:i/>
        </w:rPr>
        <w:t>a franca</w:t>
      </w:r>
      <w:r w:rsidR="006A158B" w:rsidRPr="00A653E0">
        <w:t xml:space="preserve">, the </w:t>
      </w:r>
      <w:r w:rsidR="006331CF" w:rsidRPr="00A653E0">
        <w:rPr>
          <w:bCs/>
        </w:rPr>
        <w:t>working language</w:t>
      </w:r>
      <w:r w:rsidR="006A158B" w:rsidRPr="00A653E0">
        <w:t>, of</w:t>
      </w:r>
      <w:r w:rsidR="006331CF" w:rsidRPr="00A653E0">
        <w:t xml:space="preserve"> interaction among regimes.</w:t>
      </w:r>
      <w:r w:rsidR="006A158B" w:rsidRPr="00A653E0">
        <w:t xml:space="preserve">  </w:t>
      </w:r>
      <w:r w:rsidR="0090771F" w:rsidRPr="00A653E0">
        <w:t xml:space="preserve"> </w:t>
      </w:r>
      <w:r w:rsidR="00AF7273" w:rsidRPr="00A653E0">
        <w:t>And if</w:t>
      </w:r>
      <w:r w:rsidR="00011F4D" w:rsidRPr="00A653E0">
        <w:t xml:space="preserve"> such interaction </w:t>
      </w:r>
      <w:r w:rsidR="00FC402D" w:rsidRPr="00A653E0">
        <w:t xml:space="preserve">is potentially </w:t>
      </w:r>
      <w:r w:rsidR="00AF7273" w:rsidRPr="00A653E0">
        <w:t>able to enhance or hinder</w:t>
      </w:r>
      <w:r w:rsidR="00011F4D" w:rsidRPr="00A653E0">
        <w:t xml:space="preserve"> international justice, then </w:t>
      </w:r>
      <w:r w:rsidR="00836A98" w:rsidRPr="00A653E0">
        <w:t xml:space="preserve">a more thoughtful look at indicators </w:t>
      </w:r>
      <w:r w:rsidR="00011F4D" w:rsidRPr="00A653E0">
        <w:t xml:space="preserve">seems indeed to be </w:t>
      </w:r>
      <w:r w:rsidR="00836A98" w:rsidRPr="00A653E0">
        <w:t xml:space="preserve">important </w:t>
      </w:r>
      <w:r w:rsidR="00FC402D" w:rsidRPr="00A653E0">
        <w:t xml:space="preserve">in order </w:t>
      </w:r>
      <w:r w:rsidR="00836A98" w:rsidRPr="00A653E0">
        <w:t>to understand</w:t>
      </w:r>
      <w:r w:rsidR="004E1C67" w:rsidRPr="00A653E0">
        <w:t xml:space="preserve"> the way in which international law</w:t>
      </w:r>
      <w:r w:rsidR="00AF7273" w:rsidRPr="00A653E0">
        <w:t xml:space="preserve"> contributes to a </w:t>
      </w:r>
      <w:r w:rsidR="004E1C67" w:rsidRPr="00A653E0">
        <w:t xml:space="preserve">more just world. </w:t>
      </w:r>
      <w:r w:rsidR="00836A98" w:rsidRPr="00A653E0">
        <w:t xml:space="preserve"> </w:t>
      </w:r>
    </w:p>
    <w:p w:rsidR="005A5D31" w:rsidRPr="00A653E0" w:rsidRDefault="005A5D31" w:rsidP="00A653E0">
      <w:pPr>
        <w:autoSpaceDE w:val="0"/>
        <w:autoSpaceDN w:val="0"/>
        <w:adjustRightInd w:val="0"/>
        <w:spacing w:line="360" w:lineRule="auto"/>
        <w:jc w:val="both"/>
      </w:pPr>
    </w:p>
    <w:p w:rsidR="000063DF" w:rsidRPr="00A653E0" w:rsidRDefault="005A5D31" w:rsidP="00A653E0">
      <w:pPr>
        <w:autoSpaceDE w:val="0"/>
        <w:autoSpaceDN w:val="0"/>
        <w:adjustRightInd w:val="0"/>
        <w:spacing w:line="360" w:lineRule="auto"/>
        <w:jc w:val="both"/>
      </w:pPr>
      <w:r w:rsidRPr="00A653E0">
        <w:t>H</w:t>
      </w:r>
      <w:r w:rsidR="00376A4C" w:rsidRPr="00A653E0">
        <w:t xml:space="preserve">uman </w:t>
      </w:r>
      <w:r w:rsidR="000063DF" w:rsidRPr="00A653E0">
        <w:t xml:space="preserve">rights law is an </w:t>
      </w:r>
      <w:r w:rsidR="00EA660D" w:rsidRPr="00A653E0">
        <w:t xml:space="preserve">interesting example </w:t>
      </w:r>
      <w:r w:rsidR="0083256C" w:rsidRPr="00A653E0">
        <w:t xml:space="preserve">where </w:t>
      </w:r>
      <w:r w:rsidRPr="00A653E0">
        <w:t>international law and indicators</w:t>
      </w:r>
      <w:r w:rsidR="0083256C" w:rsidRPr="00A653E0">
        <w:t xml:space="preserve"> overlap</w:t>
      </w:r>
      <w:r w:rsidRPr="00A653E0">
        <w:t xml:space="preserve">.  Here we have one of the most important areas of international legal regulation, and we have also </w:t>
      </w:r>
      <w:r w:rsidR="00702F11" w:rsidRPr="00A653E0">
        <w:t>one area where indicators have been developed in more detail</w:t>
      </w:r>
      <w:r w:rsidR="002C1BEE">
        <w:rPr>
          <w:rStyle w:val="FootnoteReference"/>
        </w:rPr>
        <w:footnoteReference w:id="5"/>
      </w:r>
      <w:r w:rsidR="00702F11" w:rsidRPr="00A653E0">
        <w:t xml:space="preserve">. </w:t>
      </w:r>
      <w:r w:rsidR="0083256C" w:rsidRPr="00A653E0">
        <w:t>In this case, quantitative measurement is instrumental for experts and activists acting</w:t>
      </w:r>
      <w:r w:rsidR="00FC402D" w:rsidRPr="00A653E0">
        <w:t xml:space="preserve"> within the human rights regime</w:t>
      </w:r>
      <w:r w:rsidR="0083256C" w:rsidRPr="00A653E0">
        <w:t xml:space="preserve"> to communicate with people and institutions acting outside that regime.  So, for example, </w:t>
      </w:r>
      <w:r w:rsidR="004A1C80" w:rsidRPr="00A653E0">
        <w:t xml:space="preserve">indicators play a crucial role in </w:t>
      </w:r>
      <w:r w:rsidR="00897002" w:rsidRPr="00A653E0">
        <w:t xml:space="preserve">the </w:t>
      </w:r>
      <w:r w:rsidR="004A1C80" w:rsidRPr="00A653E0">
        <w:t xml:space="preserve">interaction between </w:t>
      </w:r>
      <w:r w:rsidR="00897002" w:rsidRPr="00A653E0">
        <w:t xml:space="preserve">development experts </w:t>
      </w:r>
      <w:r w:rsidR="004A1C80" w:rsidRPr="00A653E0">
        <w:t xml:space="preserve">and human rights lawyers, as </w:t>
      </w:r>
      <w:r w:rsidR="004B0A7B" w:rsidRPr="00A653E0">
        <w:t xml:space="preserve">is made clear by </w:t>
      </w:r>
      <w:r w:rsidR="004A1C80" w:rsidRPr="00A653E0">
        <w:t>the World Bank’s recent report on Human Rights Indicators and Development</w:t>
      </w:r>
      <w:r w:rsidR="004B0A7B" w:rsidRPr="00A653E0">
        <w:rPr>
          <w:rStyle w:val="FootnoteReference"/>
        </w:rPr>
        <w:footnoteReference w:id="6"/>
      </w:r>
      <w:r w:rsidR="004B0A7B" w:rsidRPr="00A653E0">
        <w:t>, by the role of indicators in monitoring the UN Milleniun Development Goals</w:t>
      </w:r>
      <w:r w:rsidR="004B0A7B" w:rsidRPr="00A653E0">
        <w:rPr>
          <w:rStyle w:val="FootnoteReference"/>
        </w:rPr>
        <w:footnoteReference w:id="7"/>
      </w:r>
      <w:r w:rsidR="004B0A7B" w:rsidRPr="00A653E0">
        <w:t>, and by efforts of the UNDP to use indicators in its evaluations of development</w:t>
      </w:r>
      <w:r w:rsidR="004B0A7B" w:rsidRPr="00A653E0">
        <w:rPr>
          <w:rStyle w:val="FootnoteReference"/>
        </w:rPr>
        <w:footnoteReference w:id="8"/>
      </w:r>
      <w:r w:rsidR="004B0A7B" w:rsidRPr="00A653E0">
        <w:t>.</w:t>
      </w:r>
      <w:r w:rsidR="004A1C80" w:rsidRPr="00A653E0">
        <w:t xml:space="preserve">  </w:t>
      </w:r>
    </w:p>
    <w:p w:rsidR="000063DF" w:rsidRPr="00A653E0" w:rsidRDefault="000063DF" w:rsidP="00A653E0">
      <w:pPr>
        <w:autoSpaceDE w:val="0"/>
        <w:autoSpaceDN w:val="0"/>
        <w:adjustRightInd w:val="0"/>
        <w:spacing w:line="360" w:lineRule="auto"/>
        <w:jc w:val="both"/>
      </w:pPr>
    </w:p>
    <w:p w:rsidR="008F31B2" w:rsidRPr="00A653E0" w:rsidRDefault="000063DF" w:rsidP="00A653E0">
      <w:pPr>
        <w:autoSpaceDE w:val="0"/>
        <w:autoSpaceDN w:val="0"/>
        <w:adjustRightInd w:val="0"/>
        <w:spacing w:line="360" w:lineRule="auto"/>
        <w:jc w:val="both"/>
      </w:pPr>
      <w:r w:rsidRPr="00A653E0">
        <w:t xml:space="preserve">Indicators are also a platform for the interaction between </w:t>
      </w:r>
      <w:r w:rsidR="008500E9" w:rsidRPr="00A653E0">
        <w:t>international and d</w:t>
      </w:r>
      <w:r w:rsidR="002F1128" w:rsidRPr="00A653E0">
        <w:t xml:space="preserve">omestic regimes.  </w:t>
      </w:r>
      <w:r w:rsidR="00C80EBA" w:rsidRPr="00A653E0">
        <w:t xml:space="preserve">Here, indicators play </w:t>
      </w:r>
      <w:r w:rsidR="00E46A48" w:rsidRPr="00A653E0">
        <w:t xml:space="preserve">two different </w:t>
      </w:r>
      <w:r w:rsidR="00C80EBA" w:rsidRPr="00A653E0">
        <w:t>role</w:t>
      </w:r>
      <w:r w:rsidR="00E46A48" w:rsidRPr="00A653E0">
        <w:t>s</w:t>
      </w:r>
      <w:r w:rsidR="00C80EBA" w:rsidRPr="00A653E0">
        <w:t xml:space="preserve">.  First, they frame the way in which compliance with international legal </w:t>
      </w:r>
      <w:r w:rsidR="004C4F25" w:rsidRPr="00A653E0">
        <w:t>norms</w:t>
      </w:r>
      <w:r w:rsidR="00C80EBA" w:rsidRPr="00A653E0">
        <w:t xml:space="preserve"> is understood. </w:t>
      </w:r>
      <w:r w:rsidR="00E46A48" w:rsidRPr="00A653E0">
        <w:t xml:space="preserve">This is particularly </w:t>
      </w:r>
      <w:r w:rsidR="00C220E7">
        <w:t>true</w:t>
      </w:r>
      <w:r w:rsidR="00E46A48" w:rsidRPr="00A653E0">
        <w:t xml:space="preserve"> </w:t>
      </w:r>
      <w:r w:rsidR="002C10FB" w:rsidRPr="00A653E0">
        <w:t xml:space="preserve">with regards to economic, social and cultural rights where, perhaps in an attempt to balance the inherent indeterminacy of this kind of rights, indicators constitute the preferred </w:t>
      </w:r>
      <w:r w:rsidR="004C4F25" w:rsidRPr="00A653E0">
        <w:t xml:space="preserve">technique to assess </w:t>
      </w:r>
      <w:r w:rsidR="002C10FB" w:rsidRPr="00A653E0">
        <w:t>compliance</w:t>
      </w:r>
      <w:r w:rsidR="00D443BA">
        <w:rPr>
          <w:rStyle w:val="FootnoteReference"/>
        </w:rPr>
        <w:footnoteReference w:id="9"/>
      </w:r>
      <w:r w:rsidR="002C10FB" w:rsidRPr="00A653E0">
        <w:t xml:space="preserve">.  Thus, for example, </w:t>
      </w:r>
      <w:r w:rsidR="00467B15" w:rsidRPr="00A653E0">
        <w:t>Article 19 of the San Salvador Protocol</w:t>
      </w:r>
      <w:r w:rsidR="00E46A48" w:rsidRPr="00A653E0">
        <w:t xml:space="preserve"> </w:t>
      </w:r>
      <w:r w:rsidR="002C10FB" w:rsidRPr="00A653E0">
        <w:t>of</w:t>
      </w:r>
      <w:r w:rsidR="00E46A48" w:rsidRPr="00A653E0">
        <w:t xml:space="preserve"> the Inter</w:t>
      </w:r>
      <w:r w:rsidR="002C10FB" w:rsidRPr="00A653E0">
        <w:t xml:space="preserve"> A</w:t>
      </w:r>
      <w:r w:rsidR="00E46A48" w:rsidRPr="00A653E0">
        <w:t>merican Convention of Human Rights</w:t>
      </w:r>
      <w:r w:rsidR="002C10FB" w:rsidRPr="00A653E0">
        <w:t xml:space="preserve"> o</w:t>
      </w:r>
      <w:r w:rsidR="004C4F25" w:rsidRPr="00A653E0">
        <w:t>rders State Parties to report on</w:t>
      </w:r>
      <w:r w:rsidR="002C10FB" w:rsidRPr="00A653E0">
        <w:t xml:space="preserve"> advancements toward compliance with the Protocol, which is to be done in to form of indicators.  What is more, </w:t>
      </w:r>
      <w:r w:rsidR="004C4F25" w:rsidRPr="00A653E0">
        <w:t xml:space="preserve">the </w:t>
      </w:r>
      <w:r w:rsidR="002C10FB" w:rsidRPr="00A653E0">
        <w:t xml:space="preserve">UN’s Committee of Economic, Social and Cultural Rights adopted </w:t>
      </w:r>
      <w:r w:rsidR="009D741D" w:rsidRPr="00A653E0">
        <w:t xml:space="preserve">in the year 2000 </w:t>
      </w:r>
      <w:r w:rsidR="002C10FB" w:rsidRPr="00A653E0">
        <w:t>a General Comment</w:t>
      </w:r>
      <w:r w:rsidR="008F31B2" w:rsidRPr="00A653E0">
        <w:t xml:space="preserve"> on the R</w:t>
      </w:r>
      <w:r w:rsidR="004C4F25" w:rsidRPr="00A653E0">
        <w:t>ight to Health where it suggested</w:t>
      </w:r>
      <w:r w:rsidR="008F31B2" w:rsidRPr="00A653E0">
        <w:t xml:space="preserve"> that a State Party lacking indicators to measure advancement could, </w:t>
      </w:r>
      <w:r w:rsidR="004C4F25" w:rsidRPr="00A653E0">
        <w:t xml:space="preserve">due to this fact </w:t>
      </w:r>
      <w:r w:rsidR="008F31B2" w:rsidRPr="00A653E0">
        <w:t xml:space="preserve">in itself, be in breach of the Covenant.   </w:t>
      </w:r>
    </w:p>
    <w:p w:rsidR="008F31B2" w:rsidRPr="00A653E0" w:rsidRDefault="008F31B2" w:rsidP="00A653E0">
      <w:pPr>
        <w:autoSpaceDE w:val="0"/>
        <w:autoSpaceDN w:val="0"/>
        <w:adjustRightInd w:val="0"/>
        <w:spacing w:line="360" w:lineRule="auto"/>
        <w:jc w:val="both"/>
      </w:pPr>
    </w:p>
    <w:p w:rsidR="006C01CC" w:rsidRPr="00A653E0" w:rsidRDefault="004C4F25" w:rsidP="00A653E0">
      <w:pPr>
        <w:autoSpaceDE w:val="0"/>
        <w:autoSpaceDN w:val="0"/>
        <w:adjustRightInd w:val="0"/>
        <w:spacing w:line="360" w:lineRule="auto"/>
        <w:jc w:val="both"/>
      </w:pPr>
      <w:r w:rsidRPr="00A653E0">
        <w:t xml:space="preserve">Moreover, </w:t>
      </w:r>
      <w:r w:rsidR="004900C8" w:rsidRPr="00A653E0">
        <w:t>i</w:t>
      </w:r>
      <w:r w:rsidR="009D741D" w:rsidRPr="00A653E0">
        <w:t>ndicators also play crucial role</w:t>
      </w:r>
      <w:r w:rsidR="004900C8" w:rsidRPr="00A653E0">
        <w:t xml:space="preserve"> in the way in which international law is </w:t>
      </w:r>
      <w:r w:rsidR="00DF13C5" w:rsidRPr="00A653E0">
        <w:t xml:space="preserve">applied by domestic courts.  </w:t>
      </w:r>
      <w:r w:rsidR="002F1128" w:rsidRPr="00A653E0">
        <w:t>Recent scholarship has explored the role of domestic courts in the international legal system, focusing mainly on the role of domestic courts as enforcers and interpreters of international rules</w:t>
      </w:r>
      <w:r w:rsidR="00211970">
        <w:rPr>
          <w:rStyle w:val="FootnoteReference"/>
        </w:rPr>
        <w:footnoteReference w:id="10"/>
      </w:r>
      <w:r w:rsidR="002F1128" w:rsidRPr="00A653E0">
        <w:t xml:space="preserve">. Indicators </w:t>
      </w:r>
      <w:r w:rsidR="00421F64" w:rsidRPr="00A653E0">
        <w:t xml:space="preserve">are an important part of this </w:t>
      </w:r>
      <w:r w:rsidR="002F1128" w:rsidRPr="00A653E0">
        <w:t>process.</w:t>
      </w:r>
      <w:r w:rsidR="00A71AF0" w:rsidRPr="00A653E0">
        <w:t xml:space="preserve"> International institutions are increasingly adopting </w:t>
      </w:r>
      <w:r w:rsidR="0060100F" w:rsidRPr="00A653E0">
        <w:t xml:space="preserve">quantitative mechanism of monitoring that are then adopted by domestic courts as part of an </w:t>
      </w:r>
      <w:r w:rsidR="00BF2C4E" w:rsidRPr="00A653E0">
        <w:t>“</w:t>
      </w:r>
      <w:r w:rsidR="0060100F" w:rsidRPr="00A653E0">
        <w:t>international legal compact</w:t>
      </w:r>
      <w:r w:rsidR="00BF2C4E" w:rsidRPr="00A653E0">
        <w:t>”</w:t>
      </w:r>
      <w:r w:rsidR="0060100F" w:rsidRPr="00A653E0">
        <w:t xml:space="preserve"> of sorts</w:t>
      </w:r>
      <w:r w:rsidR="00BF2C4E" w:rsidRPr="00A653E0">
        <w:t>,</w:t>
      </w:r>
      <w:r w:rsidR="0060100F" w:rsidRPr="00A653E0">
        <w:t xml:space="preserve"> that is then used </w:t>
      </w:r>
      <w:r w:rsidR="004B0A7B" w:rsidRPr="00A653E0">
        <w:t>in domestic</w:t>
      </w:r>
      <w:r w:rsidRPr="00A653E0">
        <w:t xml:space="preserve"> adjudication</w:t>
      </w:r>
      <w:r w:rsidR="0060100F" w:rsidRPr="00A653E0">
        <w:t xml:space="preserve">. </w:t>
      </w:r>
      <w:r w:rsidR="008500E9" w:rsidRPr="00A653E0">
        <w:t xml:space="preserve">Here, again, human rights law provides a useful example.  </w:t>
      </w:r>
      <w:r w:rsidR="006B4A0F" w:rsidRPr="00A653E0">
        <w:t>Following Artic</w:t>
      </w:r>
      <w:r w:rsidR="004464E5" w:rsidRPr="00A653E0">
        <w:t>le 19 of the San Salvador Protocol</w:t>
      </w:r>
      <w:r w:rsidRPr="00A653E0">
        <w:t>,</w:t>
      </w:r>
      <w:r w:rsidR="004464E5" w:rsidRPr="00A653E0">
        <w:t xml:space="preserve"> </w:t>
      </w:r>
      <w:r w:rsidR="006B4A0F" w:rsidRPr="00A653E0">
        <w:t>that I mentioned earlier, t</w:t>
      </w:r>
      <w:r w:rsidR="004A1C80" w:rsidRPr="00A653E0">
        <w:t xml:space="preserve">he Inter </w:t>
      </w:r>
      <w:r w:rsidR="0083256C" w:rsidRPr="00A653E0">
        <w:t xml:space="preserve">American </w:t>
      </w:r>
      <w:r w:rsidR="00912ADE" w:rsidRPr="00A653E0">
        <w:t>Commission of</w:t>
      </w:r>
      <w:r w:rsidR="0083256C" w:rsidRPr="00A653E0">
        <w:t xml:space="preserve"> Human Rights adopted </w:t>
      </w:r>
      <w:r w:rsidR="004464E5" w:rsidRPr="00A653E0">
        <w:t xml:space="preserve">in 2008 a set of </w:t>
      </w:r>
      <w:r w:rsidR="00912ADE" w:rsidRPr="00A653E0">
        <w:t xml:space="preserve">guidelines for </w:t>
      </w:r>
      <w:r w:rsidR="00CC7C25" w:rsidRPr="00A653E0">
        <w:t xml:space="preserve">developing </w:t>
      </w:r>
      <w:r w:rsidR="00912ADE" w:rsidRPr="00A653E0">
        <w:t xml:space="preserve">indicators </w:t>
      </w:r>
      <w:r w:rsidR="004464E5" w:rsidRPr="00A653E0">
        <w:t xml:space="preserve">of </w:t>
      </w:r>
      <w:r w:rsidR="004B0A7B" w:rsidRPr="00A653E0">
        <w:t>social and economic rights</w:t>
      </w:r>
      <w:r w:rsidR="006B4A0F" w:rsidRPr="00A653E0">
        <w:t>,</w:t>
      </w:r>
      <w:r w:rsidR="004B0A7B" w:rsidRPr="00A653E0">
        <w:rPr>
          <w:rStyle w:val="FootnoteReference"/>
        </w:rPr>
        <w:footnoteReference w:id="11"/>
      </w:r>
      <w:r w:rsidR="006B4A0F" w:rsidRPr="00A653E0">
        <w:t xml:space="preserve"> which go a pretty impressive degree of detail.  I can report that the Colombian Constitutional Court has </w:t>
      </w:r>
      <w:r w:rsidR="004464E5" w:rsidRPr="00A653E0">
        <w:t>adopted these guidelines to the last detail</w:t>
      </w:r>
      <w:r w:rsidR="00C3506D" w:rsidRPr="00A653E0">
        <w:rPr>
          <w:rStyle w:val="FootnoteReference"/>
        </w:rPr>
        <w:footnoteReference w:id="12"/>
      </w:r>
      <w:r w:rsidR="004464E5" w:rsidRPr="00A653E0">
        <w:t xml:space="preserve">.  It </w:t>
      </w:r>
      <w:r w:rsidR="006C01CC" w:rsidRPr="00A653E0">
        <w:t xml:space="preserve">domestically </w:t>
      </w:r>
      <w:r w:rsidR="004464E5" w:rsidRPr="00A653E0">
        <w:t xml:space="preserve">enforces international legal standards, whose international binding status remains doubtful (such as the Deng Principles of Internal Displacement, or the Committee’s General Comments) </w:t>
      </w:r>
      <w:r w:rsidR="006C01CC" w:rsidRPr="00A653E0">
        <w:t xml:space="preserve">through the </w:t>
      </w:r>
      <w:r w:rsidRPr="00A653E0">
        <w:t xml:space="preserve">domestic </w:t>
      </w:r>
      <w:r w:rsidR="006C01CC" w:rsidRPr="00A653E0">
        <w:t>deployment of indicators.</w:t>
      </w:r>
    </w:p>
    <w:p w:rsidR="006C01CC" w:rsidRPr="00A653E0" w:rsidRDefault="006C01CC" w:rsidP="00A653E0">
      <w:pPr>
        <w:autoSpaceDE w:val="0"/>
        <w:autoSpaceDN w:val="0"/>
        <w:adjustRightInd w:val="0"/>
        <w:spacing w:line="360" w:lineRule="auto"/>
        <w:jc w:val="both"/>
      </w:pPr>
    </w:p>
    <w:p w:rsidR="006C01CC" w:rsidRPr="00A653E0" w:rsidRDefault="00B51828" w:rsidP="00A653E0">
      <w:pPr>
        <w:autoSpaceDE w:val="0"/>
        <w:autoSpaceDN w:val="0"/>
        <w:adjustRightInd w:val="0"/>
        <w:spacing w:line="360" w:lineRule="auto"/>
        <w:jc w:val="both"/>
      </w:pPr>
      <w:r w:rsidRPr="00A653E0">
        <w:t>(Incidentally, one further aspect should b</w:t>
      </w:r>
      <w:r w:rsidR="006C01CC" w:rsidRPr="00A653E0">
        <w:t>e briefly mentioned. Indicators developed by international institutions also frame the way in which domestic institutions interact with each other.  Water indicators, for example, are a platform that communicates independent agencies adopting regulation of water as a public utility</w:t>
      </w:r>
      <w:r w:rsidR="00125690" w:rsidRPr="00A653E0">
        <w:t>,</w:t>
      </w:r>
      <w:r w:rsidR="006C01CC" w:rsidRPr="00A653E0">
        <w:t xml:space="preserve"> with judicial institutions deciding structural injunctions related to the human right to water</w:t>
      </w:r>
      <w:r w:rsidR="00C55B8F">
        <w:rPr>
          <w:rStyle w:val="FootnoteReference"/>
        </w:rPr>
        <w:footnoteReference w:id="13"/>
      </w:r>
      <w:r w:rsidR="006C01CC" w:rsidRPr="00A653E0">
        <w:t>.  This aspect, though, goes beyond the sc</w:t>
      </w:r>
      <w:r w:rsidR="00125690" w:rsidRPr="00A653E0">
        <w:t xml:space="preserve">ope of this </w:t>
      </w:r>
      <w:r w:rsidR="00B7650B">
        <w:t>paper</w:t>
      </w:r>
      <w:r w:rsidR="00125690" w:rsidRPr="00A653E0">
        <w:t xml:space="preserve"> and will not be further explored here</w:t>
      </w:r>
      <w:r w:rsidRPr="00A653E0">
        <w:t>)</w:t>
      </w:r>
      <w:r w:rsidR="006C01CC" w:rsidRPr="00A653E0">
        <w:t>.</w:t>
      </w:r>
    </w:p>
    <w:p w:rsidR="006C01CC" w:rsidRPr="00A653E0" w:rsidRDefault="006C01CC" w:rsidP="00A653E0">
      <w:pPr>
        <w:autoSpaceDE w:val="0"/>
        <w:autoSpaceDN w:val="0"/>
        <w:adjustRightInd w:val="0"/>
        <w:spacing w:line="360" w:lineRule="auto"/>
        <w:jc w:val="both"/>
      </w:pPr>
    </w:p>
    <w:p w:rsidR="0092176C" w:rsidRPr="00A653E0" w:rsidRDefault="006C01CC" w:rsidP="00A653E0">
      <w:pPr>
        <w:autoSpaceDE w:val="0"/>
        <w:autoSpaceDN w:val="0"/>
        <w:adjustRightInd w:val="0"/>
        <w:spacing w:line="360" w:lineRule="auto"/>
        <w:jc w:val="both"/>
      </w:pPr>
      <w:r w:rsidRPr="00A653E0">
        <w:t xml:space="preserve"> </w:t>
      </w:r>
      <w:r w:rsidR="00960D01">
        <w:t xml:space="preserve">As was being said, </w:t>
      </w:r>
      <w:r w:rsidR="00B51828" w:rsidRPr="00A653E0">
        <w:t xml:space="preserve">then, </w:t>
      </w:r>
      <w:r w:rsidR="00125690" w:rsidRPr="00A653E0">
        <w:t xml:space="preserve">indicators can be understood as one of the working languages of the interaction among regimes.   </w:t>
      </w:r>
      <w:r w:rsidR="00B51828" w:rsidRPr="00A653E0">
        <w:t xml:space="preserve">There </w:t>
      </w:r>
      <w:r w:rsidR="00AF7273" w:rsidRPr="00A653E0">
        <w:t xml:space="preserve">are </w:t>
      </w:r>
      <w:r w:rsidR="00057DBF" w:rsidRPr="00A653E0">
        <w:t>several</w:t>
      </w:r>
      <w:r w:rsidR="00AF7273" w:rsidRPr="00A653E0">
        <w:t xml:space="preserve"> challenges to this.  I want </w:t>
      </w:r>
      <w:r w:rsidR="00B51828" w:rsidRPr="00A653E0">
        <w:t xml:space="preserve">close my presentation by mentioning </w:t>
      </w:r>
      <w:r w:rsidR="00394B1F" w:rsidRPr="00A653E0">
        <w:t xml:space="preserve">just </w:t>
      </w:r>
      <w:r w:rsidR="00AF7273" w:rsidRPr="00A653E0">
        <w:t xml:space="preserve">three </w:t>
      </w:r>
      <w:r w:rsidR="00C03956" w:rsidRPr="00A653E0">
        <w:t xml:space="preserve">of them.  </w:t>
      </w:r>
    </w:p>
    <w:p w:rsidR="003705C3" w:rsidRPr="00A653E0" w:rsidRDefault="003705C3" w:rsidP="00A653E0">
      <w:pPr>
        <w:autoSpaceDE w:val="0"/>
        <w:autoSpaceDN w:val="0"/>
        <w:adjustRightInd w:val="0"/>
        <w:spacing w:line="360" w:lineRule="auto"/>
        <w:jc w:val="both"/>
      </w:pPr>
    </w:p>
    <w:p w:rsidR="00A06F75" w:rsidRPr="00A653E0" w:rsidRDefault="00127EC9" w:rsidP="00A653E0">
      <w:pPr>
        <w:autoSpaceDE w:val="0"/>
        <w:autoSpaceDN w:val="0"/>
        <w:adjustRightInd w:val="0"/>
        <w:spacing w:line="360" w:lineRule="auto"/>
        <w:jc w:val="both"/>
      </w:pPr>
      <w:r w:rsidRPr="00A653E0">
        <w:t>The first one is, of course,</w:t>
      </w:r>
      <w:r w:rsidR="00125D2A" w:rsidRPr="00A653E0">
        <w:t xml:space="preserve"> politics.  </w:t>
      </w:r>
      <w:r w:rsidRPr="00A653E0">
        <w:t>I</w:t>
      </w:r>
      <w:r w:rsidR="00125D2A" w:rsidRPr="00A653E0">
        <w:t>ndicators</w:t>
      </w:r>
      <w:r w:rsidRPr="00A653E0">
        <w:t xml:space="preserve">’ appeal as </w:t>
      </w:r>
      <w:r w:rsidR="006168E7" w:rsidRPr="00A653E0">
        <w:t xml:space="preserve">technologies </w:t>
      </w:r>
      <w:r w:rsidR="00125D2A" w:rsidRPr="00A653E0">
        <w:t>of global governance</w:t>
      </w:r>
      <w:r w:rsidRPr="00A653E0">
        <w:t xml:space="preserve"> derives from their a-political stance.  To be sure, there will </w:t>
      </w:r>
      <w:r w:rsidR="00885C7F" w:rsidRPr="00A653E0">
        <w:t xml:space="preserve">always </w:t>
      </w:r>
      <w:r w:rsidRPr="00A653E0">
        <w:t xml:space="preserve">be </w:t>
      </w:r>
      <w:r w:rsidR="00443640" w:rsidRPr="00A653E0">
        <w:t>some complains</w:t>
      </w:r>
      <w:r w:rsidR="00885C7F" w:rsidRPr="00A653E0">
        <w:t xml:space="preserve"> about one indicator or the other – usually from a public official of the state that appeared as having the worst business </w:t>
      </w:r>
      <w:r w:rsidR="00443640" w:rsidRPr="00A653E0">
        <w:t xml:space="preserve">climate, the worst rule of law score, and so on. Indicators, though, need to be generally perceived </w:t>
      </w:r>
      <w:r w:rsidR="005A2336" w:rsidRPr="00A653E0">
        <w:t xml:space="preserve">as non-political </w:t>
      </w:r>
      <w:r w:rsidR="00443640" w:rsidRPr="00A653E0">
        <w:t xml:space="preserve">by most of those who are being measured. Otherwise, they would lose most of their appeal.  </w:t>
      </w:r>
    </w:p>
    <w:p w:rsidR="00A06F75" w:rsidRPr="00A653E0" w:rsidRDefault="00A06F75" w:rsidP="00A653E0">
      <w:pPr>
        <w:autoSpaceDE w:val="0"/>
        <w:autoSpaceDN w:val="0"/>
        <w:adjustRightInd w:val="0"/>
        <w:spacing w:line="360" w:lineRule="auto"/>
        <w:jc w:val="both"/>
      </w:pPr>
    </w:p>
    <w:p w:rsidR="00D9216D" w:rsidRPr="00A653E0" w:rsidRDefault="00017C96" w:rsidP="00A653E0">
      <w:pPr>
        <w:autoSpaceDE w:val="0"/>
        <w:autoSpaceDN w:val="0"/>
        <w:adjustRightInd w:val="0"/>
        <w:spacing w:line="360" w:lineRule="auto"/>
        <w:jc w:val="both"/>
      </w:pPr>
      <w:r w:rsidRPr="00A653E0">
        <w:t>However, i</w:t>
      </w:r>
      <w:r w:rsidR="00A06F75" w:rsidRPr="00A653E0">
        <w:t xml:space="preserve">n order to make sense, indicators require </w:t>
      </w:r>
      <w:r w:rsidR="005A2336" w:rsidRPr="00A653E0">
        <w:t xml:space="preserve">simplifying </w:t>
      </w:r>
      <w:r w:rsidR="00A06F75" w:rsidRPr="00A653E0">
        <w:t>complex social phenomena</w:t>
      </w:r>
      <w:r w:rsidR="005A2336" w:rsidRPr="00A653E0">
        <w:t xml:space="preserve"> - a process</w:t>
      </w:r>
      <w:r w:rsidR="00A06F75" w:rsidRPr="00A653E0">
        <w:t xml:space="preserve"> that will</w:t>
      </w:r>
      <w:r w:rsidR="00F96A4B" w:rsidRPr="00A653E0">
        <w:t xml:space="preserve"> be necessarily </w:t>
      </w:r>
      <w:r w:rsidR="005A2336" w:rsidRPr="00A653E0">
        <w:t>influenced</w:t>
      </w:r>
      <w:r w:rsidR="00F96A4B" w:rsidRPr="00A653E0">
        <w:t xml:space="preserve"> by some political choices. </w:t>
      </w:r>
      <w:r w:rsidR="000C750D" w:rsidRPr="00A653E0">
        <w:t>The Rule of Law Index is a case in point:  clearly, defining the Rule of Law (the rule of law, of all concepts!) cannot be said to be a purely technical and neutral matter.</w:t>
      </w:r>
      <w:r w:rsidR="00F96A4B" w:rsidRPr="00A653E0">
        <w:t xml:space="preserve"> </w:t>
      </w:r>
    </w:p>
    <w:p w:rsidR="00D9216D" w:rsidRPr="00A653E0" w:rsidRDefault="00D9216D" w:rsidP="00A653E0">
      <w:pPr>
        <w:autoSpaceDE w:val="0"/>
        <w:autoSpaceDN w:val="0"/>
        <w:adjustRightInd w:val="0"/>
        <w:spacing w:line="360" w:lineRule="auto"/>
        <w:jc w:val="both"/>
      </w:pPr>
    </w:p>
    <w:p w:rsidR="00702A9A" w:rsidRPr="00A653E0" w:rsidRDefault="00D9216D" w:rsidP="00A653E0">
      <w:pPr>
        <w:autoSpaceDE w:val="0"/>
        <w:autoSpaceDN w:val="0"/>
        <w:adjustRightInd w:val="0"/>
        <w:spacing w:line="360" w:lineRule="auto"/>
        <w:jc w:val="both"/>
      </w:pPr>
      <w:r w:rsidRPr="00A653E0">
        <w:t xml:space="preserve">Now:  this is the </w:t>
      </w:r>
      <w:r w:rsidR="005A2336" w:rsidRPr="00A653E0">
        <w:t xml:space="preserve">“what to measure”, “how to measure” problem that </w:t>
      </w:r>
      <w:r w:rsidR="000C750D" w:rsidRPr="00A653E0">
        <w:t xml:space="preserve">has been discussed in social sciences for long, and which was brought to bear </w:t>
      </w:r>
      <w:r w:rsidR="00D9074A" w:rsidRPr="00A653E0">
        <w:t>o</w:t>
      </w:r>
      <w:r w:rsidR="000C750D" w:rsidRPr="00A653E0">
        <w:t>n the indicators debate recently by Tom Ginsbur</w:t>
      </w:r>
      <w:r w:rsidR="00D9074A" w:rsidRPr="00A653E0">
        <w:t>g</w:t>
      </w:r>
      <w:r w:rsidR="001E74B9" w:rsidRPr="00A653E0">
        <w:rPr>
          <w:rStyle w:val="FootnoteReference"/>
        </w:rPr>
        <w:footnoteReference w:id="14"/>
      </w:r>
      <w:r w:rsidR="00D9074A" w:rsidRPr="00A653E0">
        <w:t xml:space="preserve">. </w:t>
      </w:r>
      <w:r w:rsidRPr="00A653E0">
        <w:t xml:space="preserve"> My point goes a bit further</w:t>
      </w:r>
      <w:r w:rsidR="00AC4CB7" w:rsidRPr="00A653E0">
        <w:t xml:space="preserve"> than that.  If indicators </w:t>
      </w:r>
      <w:r w:rsidR="00702A9A" w:rsidRPr="00A653E0">
        <w:t>serve as a working language</w:t>
      </w:r>
      <w:r w:rsidR="00706C36" w:rsidRPr="00A653E0">
        <w:t xml:space="preserve"> </w:t>
      </w:r>
      <w:r w:rsidR="004C4F25" w:rsidRPr="00A653E0">
        <w:t>for</w:t>
      </w:r>
      <w:r w:rsidR="00706C36" w:rsidRPr="00A653E0">
        <w:t xml:space="preserve"> </w:t>
      </w:r>
      <w:r w:rsidR="004C4F25" w:rsidRPr="00A653E0">
        <w:t xml:space="preserve">the </w:t>
      </w:r>
      <w:r w:rsidR="00706C36" w:rsidRPr="00A653E0">
        <w:t xml:space="preserve">interaction among regimes, then it becomes relevant to realize that such </w:t>
      </w:r>
      <w:r w:rsidR="00702A9A" w:rsidRPr="00A653E0">
        <w:t xml:space="preserve">a </w:t>
      </w:r>
      <w:r w:rsidR="00706C36" w:rsidRPr="00A653E0">
        <w:t>language may, in its required simplification, favor</w:t>
      </w:r>
      <w:r w:rsidR="00702A9A" w:rsidRPr="00A653E0">
        <w:t xml:space="preserve"> one world</w:t>
      </w:r>
      <w:r w:rsidR="00706C36" w:rsidRPr="00A653E0">
        <w:t xml:space="preserve">view over others. </w:t>
      </w:r>
      <w:r w:rsidR="00702A9A" w:rsidRPr="00A653E0">
        <w:t>And this, in turn, has the potential to bias the interaction among regimes.</w:t>
      </w:r>
    </w:p>
    <w:p w:rsidR="00702A9A" w:rsidRPr="00A653E0" w:rsidRDefault="00702A9A" w:rsidP="00A653E0">
      <w:pPr>
        <w:autoSpaceDE w:val="0"/>
        <w:autoSpaceDN w:val="0"/>
        <w:adjustRightInd w:val="0"/>
        <w:spacing w:line="360" w:lineRule="auto"/>
        <w:jc w:val="both"/>
      </w:pPr>
      <w:r w:rsidRPr="00A653E0">
        <w:t xml:space="preserve"> </w:t>
      </w:r>
    </w:p>
    <w:p w:rsidR="004C4F25" w:rsidRPr="00A653E0" w:rsidRDefault="00702A9A" w:rsidP="00A653E0">
      <w:pPr>
        <w:autoSpaceDE w:val="0"/>
        <w:autoSpaceDN w:val="0"/>
        <w:adjustRightInd w:val="0"/>
        <w:spacing w:line="360" w:lineRule="auto"/>
        <w:jc w:val="both"/>
      </w:pPr>
      <w:r w:rsidRPr="00A653E0">
        <w:t xml:space="preserve">Politics comes into the equation here in a second </w:t>
      </w:r>
      <w:r w:rsidR="00750AF8" w:rsidRPr="00A653E0">
        <w:t>manner</w:t>
      </w:r>
      <w:r w:rsidRPr="00A653E0">
        <w:t>.</w:t>
      </w:r>
      <w:r w:rsidR="00750AF8" w:rsidRPr="00A653E0">
        <w:t xml:space="preserve">  </w:t>
      </w:r>
      <w:r w:rsidR="00E14571" w:rsidRPr="00A653E0">
        <w:t xml:space="preserve">Once they are created, published, and discussed, indicators have a way of gaining life of their own.  </w:t>
      </w:r>
      <w:r w:rsidR="00BE5FE9" w:rsidRPr="00A653E0">
        <w:t xml:space="preserve">And this life is </w:t>
      </w:r>
      <w:r w:rsidR="006241E3" w:rsidRPr="00A653E0">
        <w:t xml:space="preserve">indeed </w:t>
      </w:r>
      <w:r w:rsidR="00BE5FE9" w:rsidRPr="00A653E0">
        <w:t xml:space="preserve">political.  </w:t>
      </w:r>
      <w:r w:rsidR="00AA4E10" w:rsidRPr="00A653E0">
        <w:t xml:space="preserve">So, </w:t>
      </w:r>
      <w:r w:rsidR="006241E3" w:rsidRPr="00A653E0">
        <w:t xml:space="preserve">even if the </w:t>
      </w:r>
      <w:r w:rsidR="004C4F25" w:rsidRPr="00A653E0">
        <w:t xml:space="preserve">expert </w:t>
      </w:r>
      <w:r w:rsidR="006241E3" w:rsidRPr="00A653E0">
        <w:t xml:space="preserve">teams that develop </w:t>
      </w:r>
      <w:r w:rsidR="00AA4E10" w:rsidRPr="00A653E0">
        <w:t xml:space="preserve">Doing Business </w:t>
      </w:r>
      <w:r w:rsidR="004F77F9" w:rsidRPr="00A653E0">
        <w:t>or the Rule of Index</w:t>
      </w:r>
      <w:r w:rsidR="00AA4E10" w:rsidRPr="00A653E0">
        <w:t xml:space="preserve"> </w:t>
      </w:r>
      <w:r w:rsidR="006241E3" w:rsidRPr="00A653E0">
        <w:t xml:space="preserve">defend their creation as </w:t>
      </w:r>
      <w:r w:rsidR="002277D4" w:rsidRPr="00A653E0">
        <w:t xml:space="preserve">a </w:t>
      </w:r>
      <w:r w:rsidR="006241E3" w:rsidRPr="00A653E0">
        <w:t xml:space="preserve">technically neutral </w:t>
      </w:r>
      <w:r w:rsidR="004F77F9" w:rsidRPr="00A653E0">
        <w:t xml:space="preserve">undertaking, </w:t>
      </w:r>
      <w:r w:rsidR="006241E3" w:rsidRPr="00A653E0">
        <w:t>it is impossible to</w:t>
      </w:r>
      <w:r w:rsidR="004F77F9" w:rsidRPr="00A653E0">
        <w:t xml:space="preserve"> prevent that their </w:t>
      </w:r>
      <w:r w:rsidR="00AB1255" w:rsidRPr="00A653E0">
        <w:t>numbers are used politically.</w:t>
      </w:r>
      <w:r w:rsidR="00900991" w:rsidRPr="00A653E0">
        <w:t xml:space="preserve">  And it would be silly to attempt to do so.   T</w:t>
      </w:r>
      <w:r w:rsidR="00AB1255" w:rsidRPr="00A653E0">
        <w:t xml:space="preserve">he </w:t>
      </w:r>
      <w:r w:rsidR="00900991" w:rsidRPr="00A653E0">
        <w:t>influence of an indicator, it</w:t>
      </w:r>
      <w:r w:rsidR="004C4F25" w:rsidRPr="00A653E0">
        <w:t>s</w:t>
      </w:r>
      <w:r w:rsidR="00900991" w:rsidRPr="00A653E0">
        <w:t xml:space="preserve"> success, </w:t>
      </w:r>
      <w:r w:rsidR="00AB1255" w:rsidRPr="00A653E0">
        <w:t xml:space="preserve">derives from the fact that it is used </w:t>
      </w:r>
      <w:r w:rsidR="00900991" w:rsidRPr="00A653E0">
        <w:t>by policy makers</w:t>
      </w:r>
      <w:r w:rsidR="00AB1255" w:rsidRPr="00A653E0">
        <w:t xml:space="preserve">:  otherwise, </w:t>
      </w:r>
      <w:r w:rsidR="00900991" w:rsidRPr="00A653E0">
        <w:t xml:space="preserve">indicators would remain as a footnote in scholarly journals with no influence in real life.  </w:t>
      </w:r>
    </w:p>
    <w:p w:rsidR="004C4F25" w:rsidRPr="00A653E0" w:rsidRDefault="004C4F25" w:rsidP="00A653E0">
      <w:pPr>
        <w:autoSpaceDE w:val="0"/>
        <w:autoSpaceDN w:val="0"/>
        <w:adjustRightInd w:val="0"/>
        <w:spacing w:line="360" w:lineRule="auto"/>
        <w:jc w:val="both"/>
      </w:pPr>
    </w:p>
    <w:p w:rsidR="00493CA1" w:rsidRPr="00A653E0" w:rsidRDefault="0023049D" w:rsidP="00A653E0">
      <w:pPr>
        <w:autoSpaceDE w:val="0"/>
        <w:autoSpaceDN w:val="0"/>
        <w:adjustRightInd w:val="0"/>
        <w:spacing w:line="360" w:lineRule="auto"/>
        <w:jc w:val="both"/>
      </w:pPr>
      <w:r w:rsidRPr="00A653E0">
        <w:t xml:space="preserve">But </w:t>
      </w:r>
      <w:r w:rsidR="00B21DBF" w:rsidRPr="00A653E0">
        <w:t xml:space="preserve">getting involved in </w:t>
      </w:r>
      <w:r w:rsidRPr="00A653E0">
        <w:t>the messy world of politics</w:t>
      </w:r>
      <w:r w:rsidR="00900991" w:rsidRPr="00A653E0">
        <w:t xml:space="preserve"> </w:t>
      </w:r>
      <w:r w:rsidR="00B21DBF" w:rsidRPr="00A653E0">
        <w:t xml:space="preserve">means that indicators </w:t>
      </w:r>
      <w:r w:rsidR="002277D4" w:rsidRPr="00A653E0">
        <w:t xml:space="preserve">are also likely to </w:t>
      </w:r>
      <w:r w:rsidR="00B21DBF" w:rsidRPr="00A653E0">
        <w:t xml:space="preserve">become </w:t>
      </w:r>
      <w:r w:rsidR="002277D4" w:rsidRPr="00A653E0">
        <w:t xml:space="preserve">instrumentalized in </w:t>
      </w:r>
      <w:r w:rsidR="00381317" w:rsidRPr="00A653E0">
        <w:t xml:space="preserve">the </w:t>
      </w:r>
      <w:r w:rsidR="002277D4" w:rsidRPr="00A653E0">
        <w:t xml:space="preserve">cut-throat business that is political </w:t>
      </w:r>
      <w:r w:rsidR="00547ABD" w:rsidRPr="00A653E0">
        <w:t>competition</w:t>
      </w:r>
      <w:r w:rsidR="002277D4" w:rsidRPr="00A653E0">
        <w:t>.</w:t>
      </w:r>
      <w:r w:rsidR="00547ABD" w:rsidRPr="00A653E0">
        <w:t xml:space="preserve"> </w:t>
      </w:r>
      <w:r w:rsidR="0029617C" w:rsidRPr="00A653E0">
        <w:t>Surely, Venezuela’s position in the Rule of law Index will be used by the opposition in that country as an argument against Chávez</w:t>
      </w:r>
      <w:r w:rsidR="00FB2DC0" w:rsidRPr="00A653E0">
        <w:rPr>
          <w:rStyle w:val="FootnoteReference"/>
        </w:rPr>
        <w:footnoteReference w:id="15"/>
      </w:r>
      <w:r w:rsidR="0029617C" w:rsidRPr="00A653E0">
        <w:t xml:space="preserve">.   And indicators </w:t>
      </w:r>
      <w:r w:rsidR="00CA58C9" w:rsidRPr="00A653E0">
        <w:t>may end up endorsing domestic political agendas that are different from those endorsed by the creator of the indicator</w:t>
      </w:r>
      <w:r w:rsidR="00381317" w:rsidRPr="00A653E0">
        <w:t>.  For example,</w:t>
      </w:r>
      <w:r w:rsidR="00CA58C9" w:rsidRPr="00A653E0">
        <w:t xml:space="preserve"> </w:t>
      </w:r>
      <w:r w:rsidR="00381317" w:rsidRPr="00A653E0">
        <w:t xml:space="preserve">the </w:t>
      </w:r>
      <w:r w:rsidR="00CA58C9" w:rsidRPr="00A653E0">
        <w:t xml:space="preserve">World Bank’s Employing Workers indicator was contested in a campaign of a transnational group of workers’ representatives, together with the International Labor Organization, who argued that the indicator was biased in favor of labor market deregulation and so was being used by international financial institutions to pressure developing countries to dismantle protections for workers.   </w:t>
      </w:r>
      <w:r w:rsidR="00547ABD" w:rsidRPr="00A653E0">
        <w:t xml:space="preserve"> </w:t>
      </w:r>
    </w:p>
    <w:p w:rsidR="00493CA1" w:rsidRPr="00A653E0" w:rsidRDefault="00493CA1" w:rsidP="00A653E0">
      <w:pPr>
        <w:autoSpaceDE w:val="0"/>
        <w:autoSpaceDN w:val="0"/>
        <w:adjustRightInd w:val="0"/>
        <w:spacing w:line="360" w:lineRule="auto"/>
        <w:jc w:val="both"/>
      </w:pPr>
    </w:p>
    <w:p w:rsidR="00F27971" w:rsidRPr="00A653E0" w:rsidRDefault="00147241" w:rsidP="00960D01">
      <w:pPr>
        <w:autoSpaceDE w:val="0"/>
        <w:autoSpaceDN w:val="0"/>
        <w:adjustRightInd w:val="0"/>
        <w:spacing w:line="360" w:lineRule="auto"/>
        <w:jc w:val="both"/>
      </w:pPr>
      <w:r w:rsidRPr="00A653E0">
        <w:t>In the context of inter-regime interaction in a global setting, how can we prevent indicators from becoming instruments for the hegemonic aspirations of one particular reg</w:t>
      </w:r>
      <w:r w:rsidR="00960D01">
        <w:t>ime, of particular one world</w:t>
      </w:r>
      <w:r w:rsidRPr="00A653E0">
        <w:t>view?</w:t>
      </w:r>
      <w:r w:rsidR="00A40470">
        <w:t xml:space="preserve"> Two issues become of importance </w:t>
      </w:r>
      <w:r w:rsidR="00A40470" w:rsidRPr="00A653E0">
        <w:t xml:space="preserve">to explore possible </w:t>
      </w:r>
      <w:r w:rsidR="00A40470">
        <w:t>ways of answering that question:</w:t>
      </w:r>
      <w:r w:rsidR="00982F15">
        <w:t xml:space="preserve"> </w:t>
      </w:r>
    </w:p>
    <w:p w:rsidR="00F27971" w:rsidRPr="00982F15" w:rsidRDefault="00F27971" w:rsidP="00A653E0">
      <w:pPr>
        <w:pStyle w:val="ListParagraph"/>
        <w:spacing w:line="360" w:lineRule="auto"/>
        <w:jc w:val="both"/>
        <w:rPr>
          <w:b/>
          <w:i/>
        </w:rPr>
      </w:pPr>
    </w:p>
    <w:p w:rsidR="00F27971" w:rsidRPr="00982F15" w:rsidRDefault="00F27971" w:rsidP="00A653E0">
      <w:pPr>
        <w:pStyle w:val="ListParagraph"/>
        <w:spacing w:line="360" w:lineRule="auto"/>
        <w:jc w:val="both"/>
        <w:rPr>
          <w:b/>
          <w:i/>
        </w:rPr>
      </w:pPr>
      <w:r w:rsidRPr="00982F15">
        <w:rPr>
          <w:b/>
          <w:i/>
        </w:rPr>
        <w:t>1.</w:t>
      </w:r>
      <w:r w:rsidRPr="00982F15">
        <w:rPr>
          <w:b/>
          <w:i/>
        </w:rPr>
        <w:tab/>
        <w:t xml:space="preserve"> Simplification/political choices:</w:t>
      </w:r>
    </w:p>
    <w:p w:rsidR="00F27971" w:rsidRPr="00A653E0" w:rsidRDefault="00F27971" w:rsidP="00A653E0">
      <w:pPr>
        <w:pStyle w:val="ListParagraph"/>
        <w:spacing w:line="360" w:lineRule="auto"/>
        <w:jc w:val="both"/>
      </w:pPr>
    </w:p>
    <w:p w:rsidR="00F27971" w:rsidRPr="00A653E0" w:rsidRDefault="00F27971" w:rsidP="00982F15">
      <w:pPr>
        <w:spacing w:line="360" w:lineRule="auto"/>
        <w:jc w:val="both"/>
      </w:pPr>
      <w:r w:rsidRPr="00A653E0">
        <w:t xml:space="preserve">Indicators’ appeal as technologies of global governance derives from their a-political stance.  To be sure, there will always be some complains about one indicator or the other. Indicators, though, need to be generally perceived as non-political by most of those who are being measured. Otherwise, they would lose most of their appeal.  However, in order to make sense, indicators require simplifying complex social phenomena - a process that will be necessarily influenced by some political choices. The Rule </w:t>
      </w:r>
      <w:r w:rsidR="00960D01">
        <w:t xml:space="preserve">of Law Index is a case in point. </w:t>
      </w:r>
      <w:r w:rsidR="00960D01" w:rsidRPr="00A653E0">
        <w:t>The Rule of Law Index is a quantitative assessment tool designed by The World Justice Project (WJP) that seeks to offer a picture of the extent to which countries adhere to the rule of law in practice.  The index is created by giving a numeric weight to scores obtained under the following factors, which are then pondered, in order to produce a final score per country</w:t>
      </w:r>
      <w:r w:rsidR="00960D01">
        <w:t>.  C</w:t>
      </w:r>
      <w:r w:rsidRPr="00A653E0">
        <w:t xml:space="preserve">learly, defining the Rule of Law cannot be said to be a purely technical and neutral matter. This general formulation of indicators as a reflection of political choices seems to have gained some general traction in recent scholarship.  However, it remains unclear in what concrete choices were made, and their consequences. </w:t>
      </w:r>
    </w:p>
    <w:p w:rsidR="00F27971" w:rsidRPr="00A653E0" w:rsidRDefault="00F27971" w:rsidP="00960D01">
      <w:pPr>
        <w:spacing w:line="360" w:lineRule="auto"/>
        <w:jc w:val="both"/>
      </w:pPr>
    </w:p>
    <w:p w:rsidR="00F27971" w:rsidRPr="00982F15" w:rsidRDefault="00F27971" w:rsidP="00A653E0">
      <w:pPr>
        <w:pStyle w:val="ListParagraph"/>
        <w:spacing w:line="360" w:lineRule="auto"/>
        <w:jc w:val="both"/>
        <w:rPr>
          <w:b/>
          <w:i/>
        </w:rPr>
      </w:pPr>
      <w:r w:rsidRPr="00982F15">
        <w:rPr>
          <w:b/>
          <w:i/>
        </w:rPr>
        <w:t>2.</w:t>
      </w:r>
      <w:r w:rsidRPr="00982F15">
        <w:rPr>
          <w:b/>
          <w:i/>
        </w:rPr>
        <w:tab/>
        <w:t>The market for indicators</w:t>
      </w:r>
    </w:p>
    <w:p w:rsidR="00F27971" w:rsidRPr="00A653E0" w:rsidRDefault="00F27971" w:rsidP="00A653E0">
      <w:pPr>
        <w:pStyle w:val="ListParagraph"/>
        <w:spacing w:line="360" w:lineRule="auto"/>
        <w:jc w:val="both"/>
      </w:pPr>
    </w:p>
    <w:p w:rsidR="00F27971" w:rsidRPr="00A653E0" w:rsidRDefault="00F27971" w:rsidP="00982F15">
      <w:pPr>
        <w:spacing w:line="360" w:lineRule="auto"/>
        <w:jc w:val="both"/>
      </w:pPr>
      <w:r w:rsidRPr="00A653E0">
        <w:t xml:space="preserve">Indicators are becoming politically relevant in global governance, which makes them a valued commodity.  The only real barrier of entry to create a new indicator is financial resources to hire the human talent that develops it, and to pay for the infrastructure to gather the data. As political relevance of indicators becomes more evident, it is foreseeable that more resources will be directed towards them.  </w:t>
      </w:r>
      <w:r w:rsidR="00A40470">
        <w:t>A</w:t>
      </w:r>
      <w:r w:rsidRPr="00A653E0">
        <w:t>gain</w:t>
      </w:r>
      <w:r w:rsidR="00A40470">
        <w:t xml:space="preserve">, two issues become relevant. </w:t>
      </w:r>
    </w:p>
    <w:p w:rsidR="00F27971" w:rsidRPr="00A653E0" w:rsidRDefault="00F27971" w:rsidP="00A653E0">
      <w:pPr>
        <w:pStyle w:val="ListParagraph"/>
        <w:spacing w:line="360" w:lineRule="auto"/>
        <w:jc w:val="both"/>
      </w:pPr>
    </w:p>
    <w:p w:rsidR="00F27971" w:rsidRPr="00A653E0" w:rsidRDefault="00F27971" w:rsidP="00982F15">
      <w:pPr>
        <w:spacing w:line="360" w:lineRule="auto"/>
        <w:jc w:val="both"/>
      </w:pPr>
      <w:r w:rsidRPr="00982F15">
        <w:rPr>
          <w:i/>
        </w:rPr>
        <w:t>a.</w:t>
      </w:r>
      <w:r w:rsidRPr="00982F15">
        <w:rPr>
          <w:i/>
        </w:rPr>
        <w:tab/>
        <w:t>Competition among “public” indicators:</w:t>
      </w:r>
      <w:r w:rsidRPr="00A653E0">
        <w:t xml:space="preserve">  </w:t>
      </w:r>
      <w:r w:rsidR="0082397D">
        <w:t xml:space="preserve">The example of the </w:t>
      </w:r>
      <w:r w:rsidRPr="00A653E0">
        <w:t xml:space="preserve">Rule of Law Index </w:t>
      </w:r>
      <w:r w:rsidR="0082397D">
        <w:t>also shows how some indicators compete</w:t>
      </w:r>
      <w:r w:rsidRPr="00A653E0">
        <w:t xml:space="preserve"> with </w:t>
      </w:r>
      <w:r w:rsidR="0082397D">
        <w:t xml:space="preserve">others:  the Index, for example, competes with </w:t>
      </w:r>
      <w:r w:rsidRPr="00A653E0">
        <w:t xml:space="preserve">of the World Bank’s indicators, which measure many overlapping issues. </w:t>
      </w:r>
      <w:r w:rsidR="0082397D">
        <w:t xml:space="preserve">It seems important to </w:t>
      </w:r>
      <w:r w:rsidRPr="00A653E0">
        <w:t xml:space="preserve">to understand the way in which they perceived their “competitors” and the Rule of Law Index’s own competitive advantage.  The goal here is to understand to key issues: Who does the WJP perceive as the main consumers of the indicator?; and: Which criteria has the WJP adopted to assess the success of its own indicator?  </w:t>
      </w:r>
    </w:p>
    <w:p w:rsidR="00F27971" w:rsidRPr="00A653E0" w:rsidRDefault="00F27971" w:rsidP="00A653E0">
      <w:pPr>
        <w:pStyle w:val="ListParagraph"/>
        <w:spacing w:line="360" w:lineRule="auto"/>
        <w:jc w:val="both"/>
      </w:pPr>
    </w:p>
    <w:p w:rsidR="00A40470" w:rsidRDefault="00F27971" w:rsidP="009918D7">
      <w:pPr>
        <w:autoSpaceDE w:val="0"/>
        <w:autoSpaceDN w:val="0"/>
        <w:adjustRightInd w:val="0"/>
        <w:spacing w:line="360" w:lineRule="auto"/>
        <w:jc w:val="both"/>
      </w:pPr>
      <w:r w:rsidRPr="009918D7">
        <w:rPr>
          <w:i/>
        </w:rPr>
        <w:t>b.</w:t>
      </w:r>
      <w:r w:rsidRPr="009918D7">
        <w:rPr>
          <w:i/>
        </w:rPr>
        <w:tab/>
        <w:t>Private v. “public” indicators:</w:t>
      </w:r>
      <w:r w:rsidRPr="00A653E0">
        <w:t xml:space="preserve">  </w:t>
      </w:r>
      <w:r w:rsidR="00A40470">
        <w:t>That indicators could become so politically relevant in global governance leads to the final challenge I want to mention here.  The only real barrier of entry to create a new indicator is financial resources to hire the human talent that develops it, and to pay for the infrastructure to gather the data. As political relevance of indicators becomes more evident, it is foreseeable that more resources will be directed towards them.  This will imply privatized indicators – for example, global risk consultancy firm Maplecroft has already developed its very own Rule of Law Index, which it sells to corporate clients</w:t>
      </w:r>
      <w:r w:rsidR="00A40470" w:rsidRPr="009918D7">
        <w:footnoteReference w:id="16"/>
      </w:r>
      <w:r w:rsidR="00A40470">
        <w:t xml:space="preserve">.  And this will also imply that those being measured by indicators will try to influence them, either by developing their very own parallel measurements, or by arm – twisting existing producers of indicators into changing their current techniques. We may foresee a competitive market of indicators of sorts in the near future. </w:t>
      </w:r>
    </w:p>
    <w:p w:rsidR="00F27971" w:rsidRPr="00A653E0" w:rsidRDefault="00F27971" w:rsidP="00982F15">
      <w:pPr>
        <w:spacing w:line="360" w:lineRule="auto"/>
        <w:jc w:val="both"/>
      </w:pPr>
    </w:p>
    <w:p w:rsidR="00F27971" w:rsidRPr="00A653E0" w:rsidRDefault="00F27971" w:rsidP="00A653E0">
      <w:pPr>
        <w:pStyle w:val="ListParagraph"/>
        <w:spacing w:line="360" w:lineRule="auto"/>
        <w:jc w:val="both"/>
      </w:pPr>
    </w:p>
    <w:p w:rsidR="00CB1A23" w:rsidRPr="00A653E0" w:rsidRDefault="00F27971" w:rsidP="00982F15">
      <w:pPr>
        <w:spacing w:line="360" w:lineRule="auto"/>
        <w:jc w:val="both"/>
      </w:pPr>
      <w:r w:rsidRPr="00A653E0">
        <w:t xml:space="preserve"> </w:t>
      </w:r>
    </w:p>
    <w:sectPr w:rsidR="00CB1A23" w:rsidRPr="00A653E0" w:rsidSect="003E5F07">
      <w:footerReference w:type="default" r:id="rId8"/>
      <w:pgSz w:w="11906" w:h="16838"/>
      <w:pgMar w:top="1417" w:right="1701" w:bottom="1417" w:left="1701"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DE7" w:rsidRDefault="00BF2DE7" w:rsidP="00EA660D">
      <w:r>
        <w:separator/>
      </w:r>
    </w:p>
  </w:endnote>
  <w:endnote w:type="continuationSeparator" w:id="0">
    <w:p w:rsidR="00BF2DE7" w:rsidRDefault="00BF2DE7" w:rsidP="00EA66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6F1C" w:rsidRDefault="006F6F1C" w:rsidP="00960D01">
    <w:pPr>
      <w:pStyle w:val="Footer"/>
      <w:jc w:val="right"/>
    </w:pPr>
    <w:r>
      <w:t xml:space="preserve">RU – DRAFT </w:t>
    </w:r>
    <w:r w:rsidR="00960D01">
      <w:t>MADRID O9</w:t>
    </w:r>
    <w:r>
      <w:t xml:space="preserve">/2012     </w:t>
    </w:r>
    <w:sdt>
      <w:sdtPr>
        <w:id w:val="-857731144"/>
        <w:docPartObj>
          <w:docPartGallery w:val="Page Numbers (Bottom of Page)"/>
          <w:docPartUnique/>
        </w:docPartObj>
      </w:sdtPr>
      <w:sdtContent>
        <w:fldSimple w:instr="PAGE   \* MERGEFORMAT">
          <w:r w:rsidR="00D0236B" w:rsidRPr="00D0236B">
            <w:rPr>
              <w:noProof/>
              <w:lang w:val="es-ES"/>
            </w:rPr>
            <w:t>1</w:t>
          </w:r>
        </w:fldSimple>
      </w:sdtContent>
    </w:sdt>
  </w:p>
  <w:p w:rsidR="006F6F1C" w:rsidRDefault="006F6F1C">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DE7" w:rsidRDefault="00BF2DE7" w:rsidP="00EA660D">
      <w:r>
        <w:separator/>
      </w:r>
    </w:p>
  </w:footnote>
  <w:footnote w:type="continuationSeparator" w:id="0">
    <w:p w:rsidR="00BF2DE7" w:rsidRDefault="00BF2DE7" w:rsidP="00EA660D">
      <w:r>
        <w:continuationSeparator/>
      </w:r>
    </w:p>
  </w:footnote>
  <w:footnote w:id="1">
    <w:p w:rsidR="00C3506D" w:rsidRPr="00C3506D" w:rsidRDefault="00C3506D">
      <w:pPr>
        <w:pStyle w:val="FootnoteText"/>
      </w:pPr>
      <w:r>
        <w:rPr>
          <w:rStyle w:val="FootnoteReference"/>
        </w:rPr>
        <w:footnoteRef/>
      </w:r>
      <w:r>
        <w:t xml:space="preserve"> </w:t>
      </w:r>
      <w:r w:rsidRPr="00C3506D">
        <w:t>Professor and Director of the International Law Program, Universidad de Los Andes (Bogot</w:t>
      </w:r>
      <w:r>
        <w:t>á, Colombia).  Email:  rf.uruena21@uniandes.edu.co</w:t>
      </w:r>
    </w:p>
  </w:footnote>
  <w:footnote w:id="2">
    <w:p w:rsidR="003513BF" w:rsidRDefault="003513BF">
      <w:pPr>
        <w:pStyle w:val="FootnoteText"/>
      </w:pPr>
      <w:r>
        <w:rPr>
          <w:rStyle w:val="FootnoteReference"/>
        </w:rPr>
        <w:footnoteRef/>
      </w:r>
      <w:r>
        <w:t xml:space="preserve"> See, for example, the contribution of Casini and Cassese to Davis et al.  </w:t>
      </w:r>
    </w:p>
  </w:footnote>
  <w:footnote w:id="3">
    <w:p w:rsidR="003F4BA4" w:rsidRDefault="003F4BA4">
      <w:pPr>
        <w:pStyle w:val="FootnoteText"/>
      </w:pPr>
      <w:r>
        <w:rPr>
          <w:rStyle w:val="FootnoteReference"/>
        </w:rPr>
        <w:footnoteRef/>
      </w:r>
      <w:r>
        <w:t xml:space="preserve"> </w:t>
      </w:r>
      <w:r w:rsidR="00017124">
        <w:fldChar w:fldCharType="begin"/>
      </w:r>
      <w:r>
        <w:instrText xml:space="preserve"> ADDIN ZOTERO_ITEM CSL_CITATION {"citationID":"UCxeM7T5","properties":{"formattedCitation":"{\\rtf Gunther Teubner and Peter Korth, \\uc0\\u8220{}Two Kind of Legal Pluralism:  Collision of Transnational in the Double Fragmentation of the World Society,\\uc0\\u8221{} in \\i Regime Interaction in International Law: Facing Fragmentation\\i0{}, ed. Margaret Young (Cambridge: Cambridge University Press, 2012), 23\\uc0\\u8211{}54.}","plainCitation":"Gunther Teubner and Peter Korth, “Two Kind of Legal Pluralism:  Collision of Transnational in the Double Fragmentation of the World Society,” in Regime Interaction in International Law: Facing Fragmentation, ed. Margaret Young (Cambridge: Cambridge University Press, 2012), 23–54."},"citationItems":[{"id":60,"uris":["http://zotero.org/users/23767/items/8KJZDVZ3"],"uri":["http://zotero.org/users/23767/items/8KJZDVZ3"],"itemData":{"id":60,"type":"chapter","title":"Two Kind of Legal Pluralism:  Collision of Transnational in the Double Fragmentation of the World Society","container-title":"Regime Interaction in International Law: Facing Fragmentation","publisher":"Cambridge University Press","publisher-place":"Cambridge","page":"23-54","event-place":"Cambridge","author":[{"family":"Teubner","given":"Gunther"},{"family":"Korth","given":"Peter"}],"editor":[{"family":"Young","given":"Margaret"}],"issued":{"year":2012},"page-first":"23"}}],"schema":"https://github.com/citation-style-language/schema/raw/master/csl-citation.json"} </w:instrText>
      </w:r>
      <w:r w:rsidR="00017124">
        <w:fldChar w:fldCharType="separate"/>
      </w:r>
      <w:r w:rsidRPr="003F4BA4">
        <w:rPr>
          <w:szCs w:val="24"/>
        </w:rPr>
        <w:t xml:space="preserve">Gunther Teubner and Peter Korth, “Two Kind of Legal Pluralism:  Collision of Transnational in the Double Fragmentation of the World Society,” in </w:t>
      </w:r>
      <w:r w:rsidRPr="003F4BA4">
        <w:rPr>
          <w:i/>
          <w:iCs/>
          <w:szCs w:val="24"/>
        </w:rPr>
        <w:t>Regime Interaction in International Law: Facing Fragmentation</w:t>
      </w:r>
      <w:r w:rsidRPr="003F4BA4">
        <w:rPr>
          <w:szCs w:val="24"/>
        </w:rPr>
        <w:t>, ed. Margaret Young (Cambridge: Cambridge University Press, 2012), 23–54.</w:t>
      </w:r>
      <w:r w:rsidR="00017124">
        <w:fldChar w:fldCharType="end"/>
      </w:r>
      <w:r>
        <w:t xml:space="preserve"> Also in the same volume: </w:t>
      </w:r>
      <w:r w:rsidR="00017124">
        <w:fldChar w:fldCharType="begin"/>
      </w:r>
      <w:r>
        <w:instrText xml:space="preserve"> ADDIN ZOTERO_ITEM CSL_CITATION {"citationID":"c64USw6z","properties":{"formattedCitation":"{\\rtf Martti Koskenniemi, \\uc0\\u8220{}Hegemonic Regimes,\\uc0\\u8221{} in \\i Regime Interaction in International Law: Facing Fragmentation\\i0{}, ed. Margaret Young (Cambridge: Cambridge University Press, 2012), 305\\uc0\\u8211{}323.}","plainCitation":"Martti Koskenniemi, “Hegemonic Regimes,” in Regime Interaction in International Law: Facing Fragmentation, ed. Margaret Young (Cambridge: Cambridge University Press, 2012), 305–323."},"citationItems":[{"id":131,"uris":["http://zotero.org/users/23767/items/GWJBFRTR"],"uri":["http://zotero.org/users/23767/items/GWJBFRTR"],"itemData":{"id":131,"type":"chapter","title":"Hegemonic Regimes","container-title":"Regime Interaction in International Law: Facing Fragmentation","publisher":"Cambridge University Press","publisher-place":"Cambridge","page":"305-323","event-place":"Cambridge","author":[{"family":"Koskenniemi","given":"Martti"}],"editor":[{"family":"Young","given":"Margaret"}],"issued":{"year":2012},"page-first":"305"}}],"schema":"https://github.com/citation-style-language/schema/raw/master/csl-citation.json"} </w:instrText>
      </w:r>
      <w:r w:rsidR="00017124">
        <w:fldChar w:fldCharType="separate"/>
      </w:r>
      <w:r w:rsidRPr="003F4BA4">
        <w:rPr>
          <w:szCs w:val="24"/>
        </w:rPr>
        <w:t xml:space="preserve">Martti Koskenniemi, “Hegemonic Regimes,” in </w:t>
      </w:r>
      <w:r w:rsidRPr="003F4BA4">
        <w:rPr>
          <w:i/>
          <w:iCs/>
          <w:szCs w:val="24"/>
        </w:rPr>
        <w:t>Regime Interaction in International Law: Facing Fragmentation</w:t>
      </w:r>
      <w:r w:rsidRPr="003F4BA4">
        <w:rPr>
          <w:szCs w:val="24"/>
        </w:rPr>
        <w:t>, ed. Margaret Young (Cambridge: Cambridge University Press, 2012), 305–323.</w:t>
      </w:r>
      <w:r w:rsidR="00017124">
        <w:fldChar w:fldCharType="end"/>
      </w:r>
    </w:p>
  </w:footnote>
  <w:footnote w:id="4">
    <w:p w:rsidR="003F4BA4" w:rsidRDefault="003F4BA4">
      <w:pPr>
        <w:pStyle w:val="FootnoteText"/>
      </w:pPr>
      <w:r>
        <w:rPr>
          <w:rStyle w:val="FootnoteReference"/>
        </w:rPr>
        <w:footnoteRef/>
      </w:r>
      <w:r>
        <w:t xml:space="preserve"> </w:t>
      </w:r>
      <w:r w:rsidR="00017124">
        <w:fldChar w:fldCharType="begin"/>
      </w:r>
      <w:r>
        <w:instrText xml:space="preserve"> ADDIN ZOTERO_ITEM CSL_CITATION {"citationID":"vrK5vnwW","properties":{"formattedCitation":"{\\rtf David Kennedy, \\uc0\\u8220{}Challenging Expert Rule: The Politics of Global Governance,\\uc0\\u8221{} \\i Sydney Law Review\\i0{} 27 (2005): 5.}","plainCitation":"David Kennedy, “Challenging Expert Rule: The Politics of Global Governance,” Sydney Law Review 27 (2005): 5."},"citationItems":[{"id":41,"uris":["http://zotero.org/users/23767/items/5T9GQ7CB"],"uri":["http://zotero.org/users/23767/items/5T9GQ7CB"],"itemData":{"id":41,"type":"article-journal","title":"Challenging Expert Rule: The Politics of Global Governance","container-title":"Sydney Law Review","page":"5","volume":"27","shortTitle":"Challenging Expert Rule","journalAbbreviation":"Sydney L. Rev.","author":[{"family":"Kennedy","given":"David"}],"issued":{"year":2005},"page-first":"5"}}],"schema":"https://github.com/citation-style-language/schema/raw/master/csl-citation.json"} </w:instrText>
      </w:r>
      <w:r w:rsidR="00017124">
        <w:fldChar w:fldCharType="separate"/>
      </w:r>
      <w:r w:rsidRPr="003F4BA4">
        <w:rPr>
          <w:szCs w:val="24"/>
        </w:rPr>
        <w:t xml:space="preserve">David Kennedy, “Challenging Expert Rule: The Politics of Global Governance,” </w:t>
      </w:r>
      <w:r w:rsidRPr="003F4BA4">
        <w:rPr>
          <w:i/>
          <w:iCs/>
          <w:szCs w:val="24"/>
        </w:rPr>
        <w:t>Sydney Law Review</w:t>
      </w:r>
      <w:r w:rsidRPr="003F4BA4">
        <w:rPr>
          <w:szCs w:val="24"/>
        </w:rPr>
        <w:t xml:space="preserve"> 27 (2005): 5.</w:t>
      </w:r>
      <w:r w:rsidR="00017124">
        <w:fldChar w:fldCharType="end"/>
      </w:r>
    </w:p>
  </w:footnote>
  <w:footnote w:id="5">
    <w:p w:rsidR="002C1BEE" w:rsidRDefault="002C1BEE">
      <w:pPr>
        <w:pStyle w:val="FootnoteText"/>
      </w:pPr>
      <w:r>
        <w:rPr>
          <w:rStyle w:val="FootnoteReference"/>
        </w:rPr>
        <w:footnoteRef/>
      </w:r>
      <w:r>
        <w:t xml:space="preserve"> </w:t>
      </w:r>
      <w:r w:rsidRPr="002C1BEE">
        <w:rPr>
          <w:rFonts w:hint="eastAsia"/>
        </w:rPr>
        <w:t xml:space="preserve">See, for instance, Ann Janette Rosga y Margaret L. Satterthwaite, </w:t>
      </w:r>
      <w:r w:rsidRPr="002C1BEE">
        <w:rPr>
          <w:rFonts w:hint="eastAsia"/>
        </w:rPr>
        <w:t>―</w:t>
      </w:r>
      <w:r w:rsidRPr="002C1BEE">
        <w:rPr>
          <w:rFonts w:hint="eastAsia"/>
        </w:rPr>
        <w:t>The Trust in Indicators: Measuring Human Rights</w:t>
      </w:r>
      <w:r w:rsidRPr="002C1BEE">
        <w:rPr>
          <w:rFonts w:hint="eastAsia"/>
        </w:rPr>
        <w:t>‖</w:t>
      </w:r>
      <w:r w:rsidRPr="002C1BEE">
        <w:rPr>
          <w:rFonts w:hint="eastAsia"/>
        </w:rPr>
        <w:t xml:space="preserve"> 27 Berkeley Journal of International Law (2009) 253</w:t>
      </w:r>
    </w:p>
  </w:footnote>
  <w:footnote w:id="6">
    <w:p w:rsidR="004B0A7B" w:rsidRPr="00EA660D" w:rsidRDefault="004B0A7B" w:rsidP="004B0A7B">
      <w:pPr>
        <w:pStyle w:val="FootnoteText"/>
      </w:pPr>
      <w:r>
        <w:rPr>
          <w:rStyle w:val="FootnoteReference"/>
        </w:rPr>
        <w:footnoteRef/>
      </w:r>
      <w:r>
        <w:t xml:space="preserve"> </w:t>
      </w:r>
      <w:r w:rsidR="00017124">
        <w:fldChar w:fldCharType="begin"/>
      </w:r>
      <w:r w:rsidR="003F4BA4">
        <w:instrText xml:space="preserve"> ADDIN ZOTERO_ITEM CSL_CITATION {"citationID":"DHIP7Fp1","properties":{"formattedCitation":"{\\rtf H. -O Sano and Siobh\\uc0\\u225{}n Alice McInerney-Lankford, \\i Human Rights Indicators in Development\\uc0\\u8239{}: an Introduction\\i0{} (Washington, D.C.: World Bank, 2010).}","plainCitation":"H. -O Sano and Siobhán Alice McInerney-Lankford, Human Rights Indicators in Development : an Introduction (Washington, D.C.: World Bank, 2010)."},"citationItems":[{"id":289,"uris":["http://zotero.org/users/23767/items/XTXBBQ28"],"uri":["http://zotero.org/users/23767/items/XTXBBQ28"],"itemData":{"id":289,"type":"book","title":"Human rights indicators in development : an introduction","publisher":"World Bank","publisher-place":"Washington, D.C.","event-place":"Washington, D.C.","author":[{"family":"Sano","given":"H. -O"},{"family":"McInerney-Lankford","given":"Siobhán Alice"}],"issued":{"year":2010}}}],"schema":"https://github.com/citation-style-language/schema/raw/master/csl-citation.json"} </w:instrText>
      </w:r>
      <w:r w:rsidR="00017124">
        <w:fldChar w:fldCharType="separate"/>
      </w:r>
      <w:r w:rsidRPr="00EA660D">
        <w:rPr>
          <w:szCs w:val="24"/>
        </w:rPr>
        <w:t xml:space="preserve">H. -O Sano and Siobhán Alice McInerney-Lankford, </w:t>
      </w:r>
      <w:r w:rsidRPr="00EA660D">
        <w:rPr>
          <w:i/>
          <w:iCs/>
          <w:szCs w:val="24"/>
        </w:rPr>
        <w:t>Human Rights Indicators in Development : an Introduction</w:t>
      </w:r>
      <w:r w:rsidRPr="00EA660D">
        <w:rPr>
          <w:szCs w:val="24"/>
        </w:rPr>
        <w:t xml:space="preserve"> (Washington, D.C.: World Bank, 2010).</w:t>
      </w:r>
      <w:r w:rsidR="00017124">
        <w:fldChar w:fldCharType="end"/>
      </w:r>
    </w:p>
  </w:footnote>
  <w:footnote w:id="7">
    <w:p w:rsidR="004B0A7B" w:rsidRPr="004B0A7B" w:rsidRDefault="004B0A7B">
      <w:pPr>
        <w:pStyle w:val="FootnoteText"/>
        <w:rPr>
          <w:lang w:val="es-ES"/>
        </w:rPr>
      </w:pPr>
      <w:r>
        <w:rPr>
          <w:rStyle w:val="FootnoteReference"/>
        </w:rPr>
        <w:footnoteRef/>
      </w:r>
      <w:r w:rsidRPr="004B0A7B">
        <w:t xml:space="preserve"> </w:t>
      </w:r>
      <w:r w:rsidRPr="002F57A6">
        <w:t xml:space="preserve">UN Secretary General.  </w:t>
      </w:r>
      <w:r w:rsidRPr="002F57A6">
        <w:rPr>
          <w:i/>
          <w:iCs/>
        </w:rPr>
        <w:t xml:space="preserve">Indicators for Monitoring the Millennium Development Goals. </w:t>
      </w:r>
      <w:r w:rsidRPr="002F57A6">
        <w:rPr>
          <w:lang w:val="es-ES"/>
        </w:rPr>
        <w:t xml:space="preserve">UN Docs E/CN.3/2011/13 (2010).  </w:t>
      </w:r>
    </w:p>
  </w:footnote>
  <w:footnote w:id="8">
    <w:p w:rsidR="004B0A7B" w:rsidRPr="004B0A7B" w:rsidRDefault="004B0A7B" w:rsidP="00211970">
      <w:pPr>
        <w:pStyle w:val="FootnoteText"/>
        <w:jc w:val="both"/>
        <w:rPr>
          <w:lang w:val="es-ES"/>
        </w:rPr>
      </w:pPr>
      <w:r>
        <w:rPr>
          <w:rStyle w:val="FootnoteReference"/>
        </w:rPr>
        <w:footnoteRef/>
      </w:r>
      <w:r w:rsidRPr="004B0A7B">
        <w:rPr>
          <w:lang w:val="es-ES"/>
        </w:rPr>
        <w:t xml:space="preserve"> </w:t>
      </w:r>
      <w:r w:rsidRPr="002F57A6">
        <w:rPr>
          <w:lang w:val="es-ES"/>
        </w:rPr>
        <w:t xml:space="preserve">UNDP, “Uso de Indicadores Para Exigir Responsabilidad En Materia De Derechos Humanos” in UNDP, </w:t>
      </w:r>
      <w:r w:rsidRPr="002F57A6">
        <w:rPr>
          <w:i/>
          <w:iCs/>
          <w:lang w:val="es-ES"/>
        </w:rPr>
        <w:t xml:space="preserve">Informe Sobre Desarrollo Humano 2000 </w:t>
      </w:r>
      <w:r w:rsidRPr="002F57A6">
        <w:rPr>
          <w:lang w:val="es-ES"/>
        </w:rPr>
        <w:t>(UNDP, New York: 2000)</w:t>
      </w:r>
    </w:p>
  </w:footnote>
  <w:footnote w:id="9">
    <w:p w:rsidR="00D443BA" w:rsidRPr="00D443BA" w:rsidRDefault="00D443BA">
      <w:pPr>
        <w:pStyle w:val="FootnoteText"/>
        <w:rPr>
          <w:lang w:val="es-ES"/>
        </w:rPr>
      </w:pPr>
      <w:r>
        <w:rPr>
          <w:rStyle w:val="FootnoteReference"/>
        </w:rPr>
        <w:footnoteRef/>
      </w:r>
      <w:r w:rsidRPr="00D443BA">
        <w:rPr>
          <w:lang w:val="es-ES"/>
        </w:rPr>
        <w:t xml:space="preserve"> </w:t>
      </w:r>
      <w:r>
        <w:rPr>
          <w:lang w:val="es-ES"/>
        </w:rPr>
        <w:t>See</w:t>
      </w:r>
      <w:r w:rsidRPr="00D443BA">
        <w:rPr>
          <w:lang w:val="es-ES"/>
        </w:rPr>
        <w:t>, Luis Eduardo Pérez, “¿Es posible medir los derechos? De la medición del acceso a bienes y servicios a la medición del disfrute de los derechos”  in Derechos sociales: Justicia, Política y Economía en América Latina”- Bogotá, Grupo IDEAS, Facultad de Derecho, Universidad de los Andes, 2010.</w:t>
      </w:r>
    </w:p>
  </w:footnote>
  <w:footnote w:id="10">
    <w:p w:rsidR="00211970" w:rsidRPr="00211970" w:rsidRDefault="00211970">
      <w:pPr>
        <w:pStyle w:val="FootnoteText"/>
      </w:pPr>
      <w:r>
        <w:rPr>
          <w:rStyle w:val="FootnoteReference"/>
        </w:rPr>
        <w:footnoteRef/>
      </w:r>
      <w:r w:rsidRPr="00211970">
        <w:t xml:space="preserve"> </w:t>
      </w:r>
      <w:r>
        <w:t xml:space="preserve">See </w:t>
      </w:r>
      <w:r w:rsidR="00017124">
        <w:fldChar w:fldCharType="begin"/>
      </w:r>
      <w:r w:rsidRPr="00211970">
        <w:instrText xml:space="preserve"> ADDIN ZOTERO_ITEM CSL_CITATION {"citationID":"ZFUeZVIr","properties":{"formattedCitation":"{\\rtf Andr\\uc0\\u233{} Nollkaemper, \\i National Courts and the International Rule of Law\\i0{} (Oxford: Oxford University Press, 2011).}","plainCitation":"André Nollkaemper, National Courts and the International Rule of Law (Oxford: Oxford University Press, 2011)."},"citationItems":[{"id":28,"uris":["http://zotero.org/users/23767/items/4Z5TTCIX"],"uri":["http://zotero.org/users/23767/items/4Z5TTCIX"],"itemData":{"id":28,"type":"book","title":"National courts and the international rule of law","publisher":"Oxford University Press","publisher-place":"Oxford","event-place":"Oxford","author":[{"family":"Nollkaemper","given":"André"}],"issued":{"year":2011}}}],"schema":"https://github.com/citation-style-language/schema/raw/master/csl-citation.json"} </w:instrText>
      </w:r>
      <w:r w:rsidR="00017124">
        <w:fldChar w:fldCharType="separate"/>
      </w:r>
      <w:r w:rsidRPr="00211970">
        <w:rPr>
          <w:szCs w:val="24"/>
        </w:rPr>
        <w:t xml:space="preserve">André Nollkaemper, </w:t>
      </w:r>
      <w:r w:rsidRPr="00211970">
        <w:rPr>
          <w:i/>
          <w:iCs/>
          <w:szCs w:val="24"/>
        </w:rPr>
        <w:t>National Courts and the International Rule of Law</w:t>
      </w:r>
      <w:r w:rsidRPr="00211970">
        <w:rPr>
          <w:szCs w:val="24"/>
        </w:rPr>
        <w:t xml:space="preserve"> (Oxford: Oxford University Press, 2011).</w:t>
      </w:r>
      <w:r w:rsidR="00017124">
        <w:fldChar w:fldCharType="end"/>
      </w:r>
      <w:r>
        <w:t xml:space="preserve"> </w:t>
      </w:r>
      <w:r w:rsidRPr="00211970">
        <w:t xml:space="preserve">Also: </w:t>
      </w:r>
      <w:r w:rsidR="00017124">
        <w:fldChar w:fldCharType="begin"/>
      </w:r>
      <w:r w:rsidRPr="00211970">
        <w:instrText xml:space="preserve"> ADDIN ZOTERO_ITEM CSL_CITATION {"citationID":"IwipP0W3","properties":{"formattedCitation":"{\\rtf Karen Knop, Ralf Michaels, and Annelies Riles, \\uc0\\u8220{}International Law in Domestic Courts\\uc0\\u8239{}: A Conflict of Laws Approach,\\uc0\\u8221{} \\i Cornell Legal Studies Research Paper No 09016\\i0{} 103, no. 09 (2009).}","plainCitation":"Karen Knop, Ralf Michaels, and Annelies Riles, “International Law in Domestic Courts : A Conflict of Laws Approach,” Cornell Legal Studies Research Paper No 09016 103, no. 09 (2009)."},"citationItems":[{"id":108,"uris":["http://zotero.org/users/23767/items/EEI48C73"],"uri":["http://zotero.org/users/23767/items/EEI48C73"],"itemData":{"id":108,"type":"article-journal","title":"International Law in Domestic Courts : A Conflict of Laws Approach","container-title":"Cornell Legal Studies Research Paper No 09016","volume":"103","issue":"09","shortTitle":"International Law in Domestic Courts","author":[{"family":"Knop","given":"Karen"},{"family":"Michaels","given":"Ralf"},{"family":"Riles","given":"Annelies"}],"issued":{"year":2009}}}],"schema":"https://github.com/citation-style-language/schema/raw/master/csl-citation.json"} </w:instrText>
      </w:r>
      <w:r w:rsidR="00017124">
        <w:fldChar w:fldCharType="separate"/>
      </w:r>
      <w:r w:rsidRPr="00211970">
        <w:rPr>
          <w:szCs w:val="24"/>
        </w:rPr>
        <w:t xml:space="preserve">Karen Knop, Ralf Michaels, and Annelies Riles, “International Law in Domestic Courts : A Conflict of Laws Approach,” </w:t>
      </w:r>
      <w:r w:rsidRPr="00211970">
        <w:rPr>
          <w:i/>
          <w:iCs/>
          <w:szCs w:val="24"/>
        </w:rPr>
        <w:t>Cornell Legal Studies Research Paper No 09016</w:t>
      </w:r>
      <w:r w:rsidRPr="00211970">
        <w:rPr>
          <w:szCs w:val="24"/>
        </w:rPr>
        <w:t xml:space="preserve"> 103, no. 09 (2009).</w:t>
      </w:r>
      <w:r w:rsidR="00017124">
        <w:fldChar w:fldCharType="end"/>
      </w:r>
      <w:r w:rsidR="00017124">
        <w:fldChar w:fldCharType="begin"/>
      </w:r>
      <w:r>
        <w:instrText xml:space="preserve"> ADDIN ZOTERO_ITEM CSL_CITATION {"citationID":"dhDZ7eWM","properties":{"formattedCitation":"{\\rtf Karen Knop, \\uc0\\u8220{}Here and There: International Law in Domestic Courts,\\uc0\\u8221{} \\i New York University Journal of International Law and Politcs\\i0{} 32 (2000 1999): 501.}","plainCitation":"Karen Knop, “Here and There: International Law in Domestic Courts,” New York University Journal of International Law and Politcs 32 (2000 1999): 501."},"citationItems":[{"id":172,"uris":["http://zotero.org/users/23767/items/MJDJN7ZU"],"uri":["http://zotero.org/users/23767/items/MJDJN7ZU"],"itemData":{"id":172,"type":"article-journal","title":"Here and There: International Law in Domestic Courts","container-title":"New York University Journal of International Law and Politcs","page":"501","volume":"32","shortTitle":"Here and There","journalAbbreviation":"N.Y.U. J. Int'l L. &amp; Pol.","author":[{"family":"Knop","given":"Karen"}],"issued":{"year":1999,"season":"2000"},"page-first":"501"}}],"schema":"https://github.com/citation-style-language/schema/raw/master/csl-citation.json"} </w:instrText>
      </w:r>
      <w:r w:rsidR="00017124">
        <w:fldChar w:fldCharType="separate"/>
      </w:r>
      <w:r w:rsidRPr="00211970">
        <w:rPr>
          <w:szCs w:val="24"/>
        </w:rPr>
        <w:t xml:space="preserve">Karen Knop, “Here and There: International Law in Domestic Courts,” </w:t>
      </w:r>
      <w:r w:rsidRPr="00211970">
        <w:rPr>
          <w:i/>
          <w:iCs/>
          <w:szCs w:val="24"/>
        </w:rPr>
        <w:t>New York University Journal of International Law and Politcs</w:t>
      </w:r>
      <w:r w:rsidRPr="00211970">
        <w:rPr>
          <w:szCs w:val="24"/>
        </w:rPr>
        <w:t xml:space="preserve"> 32 (2000 1999): 501.</w:t>
      </w:r>
      <w:r w:rsidR="00017124">
        <w:fldChar w:fldCharType="end"/>
      </w:r>
    </w:p>
  </w:footnote>
  <w:footnote w:id="11">
    <w:p w:rsidR="004B0A7B" w:rsidRPr="001E74B9" w:rsidRDefault="004B0A7B" w:rsidP="004B0A7B">
      <w:pPr>
        <w:pStyle w:val="FootnoteText"/>
        <w:jc w:val="both"/>
      </w:pPr>
      <w:r>
        <w:rPr>
          <w:rStyle w:val="FootnoteReference"/>
        </w:rPr>
        <w:footnoteRef/>
      </w:r>
      <w:r w:rsidRPr="004B0A7B">
        <w:rPr>
          <w:lang w:val="es-ES"/>
        </w:rPr>
        <w:t xml:space="preserve"> </w:t>
      </w:r>
      <w:r w:rsidRPr="002F57A6">
        <w:rPr>
          <w:bCs/>
          <w:lang w:val="es-ES"/>
        </w:rPr>
        <w:t>Inter American Commission of Human Rights</w:t>
      </w:r>
      <w:r w:rsidRPr="002F57A6">
        <w:rPr>
          <w:i/>
          <w:iCs/>
          <w:lang w:val="es-ES"/>
        </w:rPr>
        <w:t xml:space="preserve"> Lineamientos para la elaboración de indicadores de progreso en materia de derechos económicos, sociales y Culturales</w:t>
      </w:r>
      <w:r w:rsidRPr="002F57A6">
        <w:rPr>
          <w:lang w:val="es-ES"/>
        </w:rPr>
        <w:t xml:space="preserve">. </w:t>
      </w:r>
      <w:r w:rsidRPr="001E74B9">
        <w:t>Doc. 14. July 19 2008.</w:t>
      </w:r>
    </w:p>
  </w:footnote>
  <w:footnote w:id="12">
    <w:p w:rsidR="00C3506D" w:rsidRPr="003513BF" w:rsidRDefault="00C3506D" w:rsidP="00C3506D">
      <w:pPr>
        <w:pStyle w:val="FootnoteText"/>
      </w:pPr>
      <w:r>
        <w:rPr>
          <w:rStyle w:val="FootnoteReference"/>
        </w:rPr>
        <w:footnoteRef/>
      </w:r>
      <w:r w:rsidRPr="003513BF">
        <w:t xml:space="preserve"> Corte Constitucional de Colombia. Auto 226 de 2011, pp. 12 – 14</w:t>
      </w:r>
    </w:p>
  </w:footnote>
  <w:footnote w:id="13">
    <w:p w:rsidR="00C55B8F" w:rsidRDefault="00C55B8F">
      <w:pPr>
        <w:pStyle w:val="FootnoteText"/>
      </w:pPr>
      <w:r>
        <w:rPr>
          <w:rStyle w:val="FootnoteReference"/>
        </w:rPr>
        <w:footnoteRef/>
      </w:r>
      <w:r>
        <w:t xml:space="preserve"> See my own study on Colombia in: </w:t>
      </w:r>
      <w:r w:rsidR="00017124">
        <w:fldChar w:fldCharType="begin"/>
      </w:r>
      <w:r>
        <w:instrText xml:space="preserve"> ADDIN ZOTERO_ITEM CSL_CITATION {"citationID":"vz0hRCIQ","properties":{"formattedCitation":"{\\rtf Bronwen Morgan and Navroz Dubash, \\uc0\\u8220{}Understanding the Rise of the Regulatory State in the Global South,\\uc0\\u8221{} \\i Regulation &amp; Governance\\i0{} (included in this special issue) (2012).}","plainCitation":"Bronwen Morgan and Navroz Dubash, “Understanding the Rise of the Regulatory State in the Global South,” Regulation &amp; Governance (included in this special issue) (2012)."},"citationItems":[{"id":180,"uris":["http://zotero.org/users/23767/items/N99MR3HI"],"uri":["http://zotero.org/users/23767/items/N99MR3HI"],"itemData":{"id":180,"type":"article-journal","title":"Understanding the Rise of the Regulatory State in the Global South","container-title":"Regulation &amp; Governance","volume":"(included in this special issue)","author":[{"family":"Morgan","given":"Bronwen"},{"family":"Dubash","given":"Navroz"}],"issued":{"year":2012}}}],"schema":"https://github.com/citation-style-language/schema/raw/master/csl-citation.json"} </w:instrText>
      </w:r>
      <w:r w:rsidR="00017124">
        <w:fldChar w:fldCharType="separate"/>
      </w:r>
      <w:r w:rsidRPr="00C55B8F">
        <w:rPr>
          <w:szCs w:val="24"/>
        </w:rPr>
        <w:t xml:space="preserve">Bronwen Morgan and Navroz Dubash, “Understanding the Rise of the Regulatory State in the Global South,” </w:t>
      </w:r>
      <w:r w:rsidRPr="00C55B8F">
        <w:rPr>
          <w:i/>
          <w:iCs/>
          <w:szCs w:val="24"/>
        </w:rPr>
        <w:t>Regulation &amp; Governance</w:t>
      </w:r>
      <w:r>
        <w:rPr>
          <w:szCs w:val="24"/>
        </w:rPr>
        <w:t xml:space="preserve"> </w:t>
      </w:r>
      <w:r w:rsidRPr="00C55B8F">
        <w:rPr>
          <w:szCs w:val="24"/>
        </w:rPr>
        <w:t>(2012).</w:t>
      </w:r>
      <w:r w:rsidR="00017124">
        <w:fldChar w:fldCharType="end"/>
      </w:r>
    </w:p>
  </w:footnote>
  <w:footnote w:id="14">
    <w:p w:rsidR="001E74B9" w:rsidRPr="001E74B9" w:rsidRDefault="001E74B9">
      <w:pPr>
        <w:pStyle w:val="FootnoteText"/>
      </w:pPr>
      <w:r>
        <w:rPr>
          <w:rStyle w:val="FootnoteReference"/>
        </w:rPr>
        <w:footnoteRef/>
      </w:r>
      <w:r>
        <w:t xml:space="preserve"> </w:t>
      </w:r>
      <w:r w:rsidR="00017124">
        <w:fldChar w:fldCharType="begin"/>
      </w:r>
      <w:r w:rsidR="003F4BA4">
        <w:instrText xml:space="preserve"> ADDIN ZOTERO_ITEM CSL_CITATION {"citationID":"5FGrScuZ","properties":{"formattedCitation":"{\\rtf Tom Ginsburg, \\uc0\\u8220{}Pitfalls of Measuring the Rule of Law,\\uc0\\u8221{} \\i Hague Journal on the Rule of Law\\i0{} 3, no. 02 (2011): 269\\uc0\\u8211{}280.}","plainCitation":"Tom Ginsburg, “Pitfalls of Measuring the Rule of Law,” Hague Journal on the Rule of Law 3, no. 02 (2011): 269–280."},"citationItems":[{"id":62,"uris":["http://zotero.org/users/23767/items/8UDHVTI8"],"uri":["http://zotero.org/users/23767/items/8UDHVTI8"],"itemData":{"id":62,"type":"article-journal","title":"Pitfalls of Measuring the Rule of Law","container-title":"Hague Journal on the Rule of Law","page":"269-280","volume":"3","issue":"02","author":[{"family":"Ginsburg","given":"Tom"}],"issued":{"year":2011},"page-first":"269"}}],"schema":"https://github.com/citation-style-language/schema/raw/master/csl-citation.json"} </w:instrText>
      </w:r>
      <w:r w:rsidR="00017124">
        <w:fldChar w:fldCharType="separate"/>
      </w:r>
      <w:r w:rsidR="003F4BA4" w:rsidRPr="003F4BA4">
        <w:rPr>
          <w:szCs w:val="24"/>
        </w:rPr>
        <w:t xml:space="preserve">Tom Ginsburg, “Pitfalls of Measuring the Rule of Law,” </w:t>
      </w:r>
      <w:r w:rsidR="003F4BA4" w:rsidRPr="003F4BA4">
        <w:rPr>
          <w:i/>
          <w:iCs/>
          <w:szCs w:val="24"/>
        </w:rPr>
        <w:t>Hague Journal on the Rule of Law</w:t>
      </w:r>
      <w:r w:rsidR="003F4BA4" w:rsidRPr="003F4BA4">
        <w:rPr>
          <w:szCs w:val="24"/>
        </w:rPr>
        <w:t xml:space="preserve"> 3, no. 02 (2011): 269–280.</w:t>
      </w:r>
      <w:r w:rsidR="00017124">
        <w:fldChar w:fldCharType="end"/>
      </w:r>
    </w:p>
  </w:footnote>
  <w:footnote w:id="15">
    <w:p w:rsidR="00FB2DC0" w:rsidRPr="00FB2DC0" w:rsidRDefault="00FB2DC0">
      <w:pPr>
        <w:pStyle w:val="FootnoteText"/>
      </w:pPr>
      <w:r>
        <w:rPr>
          <w:rStyle w:val="FootnoteReference"/>
        </w:rPr>
        <w:footnoteRef/>
      </w:r>
      <w:r>
        <w:t xml:space="preserve"> </w:t>
      </w:r>
      <w:r w:rsidRPr="00FB2DC0">
        <w:t>See, for example, http://therealnews.com/t2/index.php?option=com_content&amp;task=view&amp;id=31&amp;Itemid=74&amp;jumival=6915</w:t>
      </w:r>
    </w:p>
  </w:footnote>
  <w:footnote w:id="16">
    <w:p w:rsidR="00A40470" w:rsidRPr="00EE0FAD" w:rsidRDefault="00A40470" w:rsidP="00A40470">
      <w:pPr>
        <w:pStyle w:val="FootnoteText"/>
        <w:rPr>
          <w:lang w:val="es-CO"/>
        </w:rPr>
      </w:pPr>
      <w:r>
        <w:rPr>
          <w:rStyle w:val="FootnoteReference"/>
        </w:rPr>
        <w:footnoteRef/>
      </w:r>
      <w:r>
        <w:t xml:space="preserve"> </w:t>
      </w:r>
      <w:r w:rsidRPr="00EE0FAD">
        <w:t>http://maplecroft.com</w:t>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AA0149"/>
    <w:multiLevelType w:val="hybridMultilevel"/>
    <w:tmpl w:val="FDE61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TrackMoves/>
  <w:defaultTabStop w:val="708"/>
  <w:hyphenationZone w:val="425"/>
  <w:characterSpacingControl w:val="doNotCompress"/>
  <w:footnotePr>
    <w:footnote w:id="-1"/>
    <w:footnote w:id="0"/>
  </w:footnotePr>
  <w:endnotePr>
    <w:endnote w:id="-1"/>
    <w:endnote w:id="0"/>
  </w:endnotePr>
  <w:compat/>
  <w:rsids>
    <w:rsidRoot w:val="00D429DE"/>
    <w:rsid w:val="000063DF"/>
    <w:rsid w:val="00011F4D"/>
    <w:rsid w:val="00014401"/>
    <w:rsid w:val="00017124"/>
    <w:rsid w:val="00017C96"/>
    <w:rsid w:val="0003590E"/>
    <w:rsid w:val="00057DBF"/>
    <w:rsid w:val="0007349C"/>
    <w:rsid w:val="000C750D"/>
    <w:rsid w:val="00101F28"/>
    <w:rsid w:val="001065C3"/>
    <w:rsid w:val="0010708D"/>
    <w:rsid w:val="00125690"/>
    <w:rsid w:val="00125D2A"/>
    <w:rsid w:val="00127EC9"/>
    <w:rsid w:val="00147241"/>
    <w:rsid w:val="00163028"/>
    <w:rsid w:val="001C0618"/>
    <w:rsid w:val="001E74B9"/>
    <w:rsid w:val="00211970"/>
    <w:rsid w:val="002277D4"/>
    <w:rsid w:val="0023049D"/>
    <w:rsid w:val="00254852"/>
    <w:rsid w:val="0029093F"/>
    <w:rsid w:val="0029617C"/>
    <w:rsid w:val="002C10FB"/>
    <w:rsid w:val="002C1BEE"/>
    <w:rsid w:val="002D3E42"/>
    <w:rsid w:val="002F1128"/>
    <w:rsid w:val="003424FC"/>
    <w:rsid w:val="003428FD"/>
    <w:rsid w:val="003513BF"/>
    <w:rsid w:val="003705C3"/>
    <w:rsid w:val="003768CF"/>
    <w:rsid w:val="00376A4C"/>
    <w:rsid w:val="00381317"/>
    <w:rsid w:val="003939B6"/>
    <w:rsid w:val="00394B1F"/>
    <w:rsid w:val="003C007F"/>
    <w:rsid w:val="003E5F07"/>
    <w:rsid w:val="003E6598"/>
    <w:rsid w:val="003F4BA4"/>
    <w:rsid w:val="0040665C"/>
    <w:rsid w:val="004115BD"/>
    <w:rsid w:val="00416CAA"/>
    <w:rsid w:val="00421F64"/>
    <w:rsid w:val="00443640"/>
    <w:rsid w:val="00444CBE"/>
    <w:rsid w:val="004464E5"/>
    <w:rsid w:val="00467B15"/>
    <w:rsid w:val="004778C9"/>
    <w:rsid w:val="004900C8"/>
    <w:rsid w:val="00493CA1"/>
    <w:rsid w:val="004A1C80"/>
    <w:rsid w:val="004B0A7B"/>
    <w:rsid w:val="004B0D52"/>
    <w:rsid w:val="004C4F25"/>
    <w:rsid w:val="004E1C67"/>
    <w:rsid w:val="004F10E5"/>
    <w:rsid w:val="004F77F9"/>
    <w:rsid w:val="005422D2"/>
    <w:rsid w:val="00547ABD"/>
    <w:rsid w:val="00576832"/>
    <w:rsid w:val="00591756"/>
    <w:rsid w:val="00591FDB"/>
    <w:rsid w:val="005A2336"/>
    <w:rsid w:val="005A5D31"/>
    <w:rsid w:val="005C4299"/>
    <w:rsid w:val="0060100F"/>
    <w:rsid w:val="006168E7"/>
    <w:rsid w:val="006241E3"/>
    <w:rsid w:val="006331CF"/>
    <w:rsid w:val="0064653D"/>
    <w:rsid w:val="006A158B"/>
    <w:rsid w:val="006B4A0F"/>
    <w:rsid w:val="006C01CC"/>
    <w:rsid w:val="006E3CC0"/>
    <w:rsid w:val="006F6F1C"/>
    <w:rsid w:val="00702A9A"/>
    <w:rsid w:val="00702F11"/>
    <w:rsid w:val="00706C36"/>
    <w:rsid w:val="007239BD"/>
    <w:rsid w:val="00744D3D"/>
    <w:rsid w:val="007474AB"/>
    <w:rsid w:val="00750AF8"/>
    <w:rsid w:val="007A0BAC"/>
    <w:rsid w:val="007B46CB"/>
    <w:rsid w:val="007D79AC"/>
    <w:rsid w:val="007E3E70"/>
    <w:rsid w:val="008069BA"/>
    <w:rsid w:val="00816DE9"/>
    <w:rsid w:val="0082397D"/>
    <w:rsid w:val="0083256C"/>
    <w:rsid w:val="00836A98"/>
    <w:rsid w:val="008500E9"/>
    <w:rsid w:val="00864598"/>
    <w:rsid w:val="00885C7F"/>
    <w:rsid w:val="00887E69"/>
    <w:rsid w:val="00897002"/>
    <w:rsid w:val="008B2239"/>
    <w:rsid w:val="008E260F"/>
    <w:rsid w:val="008F31B2"/>
    <w:rsid w:val="008F5013"/>
    <w:rsid w:val="00900991"/>
    <w:rsid w:val="0090771F"/>
    <w:rsid w:val="00912ADE"/>
    <w:rsid w:val="0092176C"/>
    <w:rsid w:val="00960D01"/>
    <w:rsid w:val="009725DB"/>
    <w:rsid w:val="00982F15"/>
    <w:rsid w:val="009918D7"/>
    <w:rsid w:val="009A3681"/>
    <w:rsid w:val="009D741D"/>
    <w:rsid w:val="009E5DB1"/>
    <w:rsid w:val="00A0599A"/>
    <w:rsid w:val="00A06DE8"/>
    <w:rsid w:val="00A06F75"/>
    <w:rsid w:val="00A40470"/>
    <w:rsid w:val="00A653E0"/>
    <w:rsid w:val="00A71AF0"/>
    <w:rsid w:val="00A84486"/>
    <w:rsid w:val="00AA4E10"/>
    <w:rsid w:val="00AB1255"/>
    <w:rsid w:val="00AC4CB7"/>
    <w:rsid w:val="00AC770C"/>
    <w:rsid w:val="00AF7273"/>
    <w:rsid w:val="00B022F0"/>
    <w:rsid w:val="00B02539"/>
    <w:rsid w:val="00B049FD"/>
    <w:rsid w:val="00B21DBF"/>
    <w:rsid w:val="00B47536"/>
    <w:rsid w:val="00B51828"/>
    <w:rsid w:val="00B7650B"/>
    <w:rsid w:val="00B768DA"/>
    <w:rsid w:val="00BD50E3"/>
    <w:rsid w:val="00BE3656"/>
    <w:rsid w:val="00BE5FE9"/>
    <w:rsid w:val="00BF2C4E"/>
    <w:rsid w:val="00BF2DE7"/>
    <w:rsid w:val="00BF3EDC"/>
    <w:rsid w:val="00BF52B7"/>
    <w:rsid w:val="00C03956"/>
    <w:rsid w:val="00C10F28"/>
    <w:rsid w:val="00C121B3"/>
    <w:rsid w:val="00C220E7"/>
    <w:rsid w:val="00C3506D"/>
    <w:rsid w:val="00C359E2"/>
    <w:rsid w:val="00C41871"/>
    <w:rsid w:val="00C52829"/>
    <w:rsid w:val="00C54B64"/>
    <w:rsid w:val="00C55B8F"/>
    <w:rsid w:val="00C70F2A"/>
    <w:rsid w:val="00C80EBA"/>
    <w:rsid w:val="00C872E6"/>
    <w:rsid w:val="00CA58C9"/>
    <w:rsid w:val="00CB1A23"/>
    <w:rsid w:val="00CB745A"/>
    <w:rsid w:val="00CC6465"/>
    <w:rsid w:val="00CC7C25"/>
    <w:rsid w:val="00CD7701"/>
    <w:rsid w:val="00CE0986"/>
    <w:rsid w:val="00D0236B"/>
    <w:rsid w:val="00D14770"/>
    <w:rsid w:val="00D361BE"/>
    <w:rsid w:val="00D429DE"/>
    <w:rsid w:val="00D443BA"/>
    <w:rsid w:val="00D9074A"/>
    <w:rsid w:val="00D9216D"/>
    <w:rsid w:val="00D940EC"/>
    <w:rsid w:val="00DC2A4D"/>
    <w:rsid w:val="00DE76AA"/>
    <w:rsid w:val="00DF13C5"/>
    <w:rsid w:val="00E14571"/>
    <w:rsid w:val="00E36889"/>
    <w:rsid w:val="00E45F80"/>
    <w:rsid w:val="00E46A48"/>
    <w:rsid w:val="00E86683"/>
    <w:rsid w:val="00EA660D"/>
    <w:rsid w:val="00EE0FAD"/>
    <w:rsid w:val="00F06FE6"/>
    <w:rsid w:val="00F27971"/>
    <w:rsid w:val="00F96A4B"/>
    <w:rsid w:val="00FA3958"/>
    <w:rsid w:val="00FB2DC0"/>
    <w:rsid w:val="00FC0A2F"/>
    <w:rsid w:val="00FC402D"/>
    <w:rsid w:val="00FD6613"/>
  </w:rsids>
  <m:mathPr>
    <m:mathFont m:val="Lucida Grande"/>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9DE"/>
    <w:pPr>
      <w:spacing w:after="0" w:line="240" w:lineRule="auto"/>
    </w:pPr>
    <w:rPr>
      <w:rFonts w:ascii="Times New Roman" w:eastAsia="SimSun" w:hAnsi="Times New Roman" w:cs="Times New Roman"/>
      <w:sz w:val="24"/>
      <w:szCs w:val="24"/>
      <w:lang w:val="en-US" w:eastAsia="zh-C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86683"/>
    <w:pPr>
      <w:ind w:left="720"/>
      <w:contextualSpacing/>
    </w:pPr>
  </w:style>
  <w:style w:type="character" w:styleId="Hyperlink">
    <w:name w:val="Hyperlink"/>
    <w:basedOn w:val="DefaultParagraphFont"/>
    <w:uiPriority w:val="99"/>
    <w:unhideWhenUsed/>
    <w:rsid w:val="00591756"/>
    <w:rPr>
      <w:color w:val="0000FF"/>
      <w:u w:val="single"/>
    </w:rPr>
  </w:style>
  <w:style w:type="paragraph" w:styleId="FootnoteText">
    <w:name w:val="footnote text"/>
    <w:aliases w:val=" Char"/>
    <w:basedOn w:val="Normal"/>
    <w:link w:val="FootnoteTextChar"/>
    <w:uiPriority w:val="99"/>
    <w:unhideWhenUsed/>
    <w:rsid w:val="00EA660D"/>
    <w:rPr>
      <w:sz w:val="20"/>
      <w:szCs w:val="20"/>
    </w:rPr>
  </w:style>
  <w:style w:type="character" w:customStyle="1" w:styleId="FootnoteTextChar">
    <w:name w:val="Footnote Text Char"/>
    <w:aliases w:val=" Char Char"/>
    <w:basedOn w:val="DefaultParagraphFont"/>
    <w:link w:val="FootnoteText"/>
    <w:uiPriority w:val="99"/>
    <w:rsid w:val="00EA660D"/>
    <w:rPr>
      <w:rFonts w:ascii="Times New Roman" w:eastAsia="SimSun" w:hAnsi="Times New Roman" w:cs="Times New Roman"/>
      <w:sz w:val="20"/>
      <w:szCs w:val="20"/>
      <w:lang w:val="en-US" w:eastAsia="zh-CN"/>
    </w:rPr>
  </w:style>
  <w:style w:type="character" w:styleId="FootnoteReference">
    <w:name w:val="footnote reference"/>
    <w:basedOn w:val="DefaultParagraphFont"/>
    <w:uiPriority w:val="99"/>
    <w:semiHidden/>
    <w:unhideWhenUsed/>
    <w:rsid w:val="00EA660D"/>
    <w:rPr>
      <w:vertAlign w:val="superscript"/>
    </w:rPr>
  </w:style>
  <w:style w:type="paragraph" w:styleId="Header">
    <w:name w:val="header"/>
    <w:basedOn w:val="Normal"/>
    <w:link w:val="HeaderChar"/>
    <w:uiPriority w:val="99"/>
    <w:unhideWhenUsed/>
    <w:rsid w:val="006F6F1C"/>
    <w:pPr>
      <w:tabs>
        <w:tab w:val="center" w:pos="4680"/>
        <w:tab w:val="right" w:pos="9360"/>
      </w:tabs>
    </w:pPr>
  </w:style>
  <w:style w:type="character" w:customStyle="1" w:styleId="HeaderChar">
    <w:name w:val="Header Char"/>
    <w:basedOn w:val="DefaultParagraphFont"/>
    <w:link w:val="Header"/>
    <w:uiPriority w:val="99"/>
    <w:rsid w:val="006F6F1C"/>
    <w:rPr>
      <w:rFonts w:ascii="Times New Roman" w:eastAsia="SimSun" w:hAnsi="Times New Roman" w:cs="Times New Roman"/>
      <w:sz w:val="24"/>
      <w:szCs w:val="24"/>
      <w:lang w:val="en-US" w:eastAsia="zh-CN"/>
    </w:rPr>
  </w:style>
  <w:style w:type="paragraph" w:styleId="Footer">
    <w:name w:val="footer"/>
    <w:basedOn w:val="Normal"/>
    <w:link w:val="FooterChar"/>
    <w:uiPriority w:val="99"/>
    <w:unhideWhenUsed/>
    <w:rsid w:val="006F6F1C"/>
    <w:pPr>
      <w:tabs>
        <w:tab w:val="center" w:pos="4680"/>
        <w:tab w:val="right" w:pos="9360"/>
      </w:tabs>
    </w:pPr>
  </w:style>
  <w:style w:type="character" w:customStyle="1" w:styleId="FooterChar">
    <w:name w:val="Footer Char"/>
    <w:basedOn w:val="DefaultParagraphFont"/>
    <w:link w:val="Footer"/>
    <w:uiPriority w:val="99"/>
    <w:rsid w:val="006F6F1C"/>
    <w:rPr>
      <w:rFonts w:ascii="Times New Roman" w:eastAsia="SimSun" w:hAnsi="Times New Roman" w:cs="Times New Roman"/>
      <w:sz w:val="24"/>
      <w:szCs w:val="24"/>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9DE"/>
    <w:pPr>
      <w:spacing w:after="0" w:line="240" w:lineRule="auto"/>
    </w:pPr>
    <w:rPr>
      <w:rFonts w:ascii="Times New Roman" w:eastAsia="SimSun" w:hAnsi="Times New Roman" w:cs="Times New Roman"/>
      <w:sz w:val="24"/>
      <w:szCs w:val="24"/>
      <w:lang w:val="en-US"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86683"/>
    <w:pPr>
      <w:ind w:left="720"/>
      <w:contextualSpacing/>
    </w:pPr>
  </w:style>
  <w:style w:type="character" w:styleId="Hipervnculo">
    <w:name w:val="Hyperlink"/>
    <w:basedOn w:val="Fuentedeprrafopredeter"/>
    <w:uiPriority w:val="99"/>
    <w:unhideWhenUsed/>
    <w:rsid w:val="00591756"/>
    <w:rPr>
      <w:color w:val="0000FF"/>
      <w:u w:val="single"/>
    </w:rPr>
  </w:style>
  <w:style w:type="paragraph" w:styleId="Textonotapie">
    <w:name w:val="footnote text"/>
    <w:aliases w:val=" Char"/>
    <w:basedOn w:val="Normal"/>
    <w:link w:val="TextonotapieCar"/>
    <w:uiPriority w:val="99"/>
    <w:unhideWhenUsed/>
    <w:rsid w:val="00EA660D"/>
    <w:rPr>
      <w:sz w:val="20"/>
      <w:szCs w:val="20"/>
    </w:rPr>
  </w:style>
  <w:style w:type="character" w:customStyle="1" w:styleId="TextonotapieCar">
    <w:name w:val="Texto nota pie Car"/>
    <w:aliases w:val=" Char Car"/>
    <w:basedOn w:val="Fuentedeprrafopredeter"/>
    <w:link w:val="Textonotapie"/>
    <w:uiPriority w:val="99"/>
    <w:rsid w:val="00EA660D"/>
    <w:rPr>
      <w:rFonts w:ascii="Times New Roman" w:eastAsia="SimSun" w:hAnsi="Times New Roman" w:cs="Times New Roman"/>
      <w:sz w:val="20"/>
      <w:szCs w:val="20"/>
      <w:lang w:val="en-US" w:eastAsia="zh-CN"/>
    </w:rPr>
  </w:style>
  <w:style w:type="character" w:styleId="Refdenotaalpie">
    <w:name w:val="footnote reference"/>
    <w:basedOn w:val="Fuentedeprrafopredeter"/>
    <w:uiPriority w:val="99"/>
    <w:semiHidden/>
    <w:unhideWhenUsed/>
    <w:rsid w:val="00EA660D"/>
    <w:rPr>
      <w:vertAlign w:val="superscript"/>
    </w:rPr>
  </w:style>
  <w:style w:type="paragraph" w:styleId="Encabezado">
    <w:name w:val="header"/>
    <w:basedOn w:val="Normal"/>
    <w:link w:val="EncabezadoCar"/>
    <w:uiPriority w:val="99"/>
    <w:unhideWhenUsed/>
    <w:rsid w:val="006F6F1C"/>
    <w:pPr>
      <w:tabs>
        <w:tab w:val="center" w:pos="4680"/>
        <w:tab w:val="right" w:pos="9360"/>
      </w:tabs>
    </w:pPr>
  </w:style>
  <w:style w:type="character" w:customStyle="1" w:styleId="EncabezadoCar">
    <w:name w:val="Encabezado Car"/>
    <w:basedOn w:val="Fuentedeprrafopredeter"/>
    <w:link w:val="Encabezado"/>
    <w:uiPriority w:val="99"/>
    <w:rsid w:val="006F6F1C"/>
    <w:rPr>
      <w:rFonts w:ascii="Times New Roman" w:eastAsia="SimSun" w:hAnsi="Times New Roman" w:cs="Times New Roman"/>
      <w:sz w:val="24"/>
      <w:szCs w:val="24"/>
      <w:lang w:val="en-US" w:eastAsia="zh-CN"/>
    </w:rPr>
  </w:style>
  <w:style w:type="paragraph" w:styleId="Piedepgina">
    <w:name w:val="footer"/>
    <w:basedOn w:val="Normal"/>
    <w:link w:val="PiedepginaCar"/>
    <w:uiPriority w:val="99"/>
    <w:unhideWhenUsed/>
    <w:rsid w:val="006F6F1C"/>
    <w:pPr>
      <w:tabs>
        <w:tab w:val="center" w:pos="4680"/>
        <w:tab w:val="right" w:pos="9360"/>
      </w:tabs>
    </w:pPr>
  </w:style>
  <w:style w:type="character" w:customStyle="1" w:styleId="PiedepginaCar">
    <w:name w:val="Pie de página Car"/>
    <w:basedOn w:val="Fuentedeprrafopredeter"/>
    <w:link w:val="Piedepgina"/>
    <w:uiPriority w:val="99"/>
    <w:rsid w:val="006F6F1C"/>
    <w:rPr>
      <w:rFonts w:ascii="Times New Roman" w:eastAsia="SimSun" w:hAnsi="Times New Roman" w:cs="Times New Roman"/>
      <w:sz w:val="24"/>
      <w:szCs w:val="24"/>
      <w:lang w:val="en-US" w:eastAsia="zh-CN"/>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6296F3-1369-2041-8F9D-F81ABE7C6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1935</Words>
  <Characters>11030</Characters>
  <Application>Microsoft Macintosh Word</Application>
  <DocSecurity>0</DocSecurity>
  <Lines>91</Lines>
  <Paragraphs>22</Paragraphs>
  <ScaleCrop>false</ScaleCrop>
  <HeadingPairs>
    <vt:vector size="2" baseType="variant">
      <vt:variant>
        <vt:lpstr>Título</vt:lpstr>
      </vt:variant>
      <vt:variant>
        <vt:i4>1</vt:i4>
      </vt:variant>
    </vt:vector>
  </HeadingPairs>
  <TitlesOfParts>
    <vt:vector size="1" baseType="lpstr">
      <vt:lpstr/>
    </vt:vector>
  </TitlesOfParts>
  <Company>Windows XP Titan Ultimate Edition</Company>
  <LinksUpToDate>false</LinksUpToDate>
  <CharactersWithSpaces>13545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dc:creator>
  <cp:lastModifiedBy>Carlos Esposito</cp:lastModifiedBy>
  <cp:revision>2</cp:revision>
  <cp:lastPrinted>2012-04-24T01:05:00Z</cp:lastPrinted>
  <dcterms:created xsi:type="dcterms:W3CDTF">2012-09-10T21:12:00Z</dcterms:created>
  <dcterms:modified xsi:type="dcterms:W3CDTF">2012-09-10T21:12:00Z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zotero-version="3.0.7"&gt;&lt;session id="iDqo4m8b"/&gt;&lt;style id="http://www.zotero.org/styles/chicago-fullnote-bibliography" hasBibliography="1" bibliographyStyleHasBeenSet="0"/&gt;&lt;prefs&gt;&lt;pref name="fieldType" value="Field"/&gt;&lt;pref name="stor</vt:lpwstr>
  </property>
  <property fmtid="{D5CDD505-2E9C-101B-9397-08002B2CF9AE}" pid="3" name="ZOTERO_PREF_2">
    <vt:lpwstr>eReferences" value="true"/&gt;&lt;pref name="noteType" value="1"/&gt;&lt;/prefs&gt;&lt;/data&gt;</vt:lpwstr>
  </property>
</Properties>
</file>